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1AD3A" w14:textId="77777777" w:rsidR="000F133D" w:rsidRPr="000F133D" w:rsidRDefault="000F133D" w:rsidP="00742B46">
      <w:pPr>
        <w:spacing w:after="0"/>
        <w:jc w:val="both"/>
        <w:rPr>
          <w:rFonts w:ascii="Times New Roman" w:hAnsi="Times New Roman" w:cs="Times New Roman"/>
          <w:b/>
          <w:sz w:val="28"/>
          <w:szCs w:val="28"/>
          <w:lang w:val="hr-HR"/>
        </w:rPr>
      </w:pPr>
    </w:p>
    <w:p w14:paraId="70A46767" w14:textId="2027DE3D" w:rsidR="000F133D" w:rsidRPr="000F133D" w:rsidRDefault="000F133D" w:rsidP="00292DCC">
      <w:pPr>
        <w:spacing w:line="252" w:lineRule="auto"/>
        <w:jc w:val="center"/>
        <w:rPr>
          <w:rFonts w:ascii="Times New Roman" w:hAnsi="Times New Roman"/>
          <w:b/>
          <w:sz w:val="28"/>
          <w:lang w:val="hr-HR"/>
        </w:rPr>
      </w:pPr>
      <w:r w:rsidRPr="000F133D">
        <w:rPr>
          <w:rFonts w:ascii="Times New Roman" w:hAnsi="Times New Roman"/>
          <w:b/>
          <w:sz w:val="28"/>
          <w:lang w:val="hr-HR"/>
        </w:rPr>
        <w:t>POZIV NA DODJELU BESPOVRATNIH SREDSTAVA</w:t>
      </w:r>
    </w:p>
    <w:p w14:paraId="5A11AF6E" w14:textId="3485977D" w:rsidR="008A6189" w:rsidRDefault="008A6189" w:rsidP="00292DCC">
      <w:pPr>
        <w:spacing w:after="120" w:line="240" w:lineRule="auto"/>
        <w:jc w:val="center"/>
        <w:rPr>
          <w:rFonts w:ascii="Times New Roman" w:eastAsiaTheme="minorEastAsia" w:hAnsi="Times New Roman" w:cs="Times New Roman"/>
          <w:b/>
          <w:bCs/>
          <w:color w:val="171796"/>
          <w:sz w:val="28"/>
          <w:szCs w:val="40"/>
          <w:lang w:eastAsia="hr-HR"/>
        </w:rPr>
      </w:pPr>
      <w:r w:rsidRPr="002B3C56">
        <w:rPr>
          <w:rFonts w:ascii="Times New Roman" w:eastAsiaTheme="minorEastAsia" w:hAnsi="Times New Roman" w:cs="Times New Roman"/>
          <w:b/>
          <w:bCs/>
          <w:color w:val="171796"/>
          <w:sz w:val="28"/>
          <w:szCs w:val="40"/>
          <w:lang w:eastAsia="hr-HR"/>
        </w:rPr>
        <w:t>CILJANA ZNANSTVENA ISTRAŽIVANJA</w:t>
      </w:r>
    </w:p>
    <w:p w14:paraId="7383FA1B" w14:textId="6E4E25EB" w:rsidR="008A6189" w:rsidRPr="002B2B9B" w:rsidRDefault="008A6189" w:rsidP="00292DCC">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proofErr w:type="spellStart"/>
      <w:r w:rsidRPr="002B2B9B">
        <w:rPr>
          <w:rFonts w:ascii="Times New Roman" w:hAnsi="Times New Roman" w:cs="Times New Roman"/>
          <w:b/>
          <w:i/>
          <w:sz w:val="24"/>
          <w:szCs w:val="24"/>
        </w:rPr>
        <w:t>referentni</w:t>
      </w:r>
      <w:proofErr w:type="spellEnd"/>
      <w:r w:rsidRPr="002B2B9B">
        <w:rPr>
          <w:rFonts w:ascii="Times New Roman" w:hAnsi="Times New Roman" w:cs="Times New Roman"/>
          <w:b/>
          <w:i/>
          <w:sz w:val="24"/>
          <w:szCs w:val="24"/>
        </w:rPr>
        <w:t xml:space="preserve"> </w:t>
      </w:r>
      <w:proofErr w:type="spellStart"/>
      <w:r w:rsidRPr="002B2B9B">
        <w:rPr>
          <w:rFonts w:ascii="Times New Roman" w:hAnsi="Times New Roman" w:cs="Times New Roman"/>
          <w:b/>
          <w:i/>
          <w:sz w:val="24"/>
          <w:szCs w:val="24"/>
        </w:rPr>
        <w:t>broj</w:t>
      </w:r>
      <w:proofErr w:type="spellEnd"/>
      <w:r w:rsidRPr="002B2B9B">
        <w:rPr>
          <w:rFonts w:ascii="Times New Roman" w:hAnsi="Times New Roman" w:cs="Times New Roman"/>
          <w:b/>
          <w:i/>
          <w:sz w:val="24"/>
          <w:szCs w:val="24"/>
        </w:rPr>
        <w:t>:</w:t>
      </w:r>
      <w:r w:rsidRPr="002B3C56">
        <w:rPr>
          <w:rFonts w:ascii="Times New Roman" w:hAnsi="Times New Roman" w:cs="Times New Roman"/>
          <w:color w:val="000000"/>
          <w:sz w:val="24"/>
          <w:szCs w:val="17"/>
          <w:lang w:val="en-US"/>
        </w:rPr>
        <w:t xml:space="preserve"> </w:t>
      </w:r>
      <w:r w:rsidR="002508C6" w:rsidRPr="00436112">
        <w:rPr>
          <w:rFonts w:ascii="Times New Roman" w:hAnsi="Times New Roman" w:cs="Times New Roman"/>
          <w:b/>
          <w:i/>
          <w:sz w:val="24"/>
          <w:szCs w:val="24"/>
        </w:rPr>
        <w:t>C3.2.R3-I1.04</w:t>
      </w:r>
      <w:r w:rsidRPr="00D7744E">
        <w:rPr>
          <w:rFonts w:ascii="Times New Roman" w:hAnsi="Times New Roman" w:cs="Times New Roman"/>
          <w:b/>
          <w:i/>
          <w:sz w:val="24"/>
          <w:szCs w:val="24"/>
          <w:lang w:val="hr-HR"/>
        </w:rPr>
        <w:t>)</w:t>
      </w:r>
    </w:p>
    <w:p w14:paraId="621DF6BD" w14:textId="77777777" w:rsidR="000F133D" w:rsidRPr="000F133D" w:rsidRDefault="000F133D" w:rsidP="00292DCC">
      <w:pPr>
        <w:spacing w:line="252" w:lineRule="auto"/>
        <w:jc w:val="center"/>
        <w:rPr>
          <w:rFonts w:ascii="Times New Roman" w:hAnsi="Times New Roman"/>
          <w:b/>
          <w:sz w:val="24"/>
          <w:lang w:val="hr-HR"/>
        </w:rPr>
      </w:pPr>
    </w:p>
    <w:p w14:paraId="328F9F8E" w14:textId="04115B46" w:rsidR="000F133D" w:rsidRPr="000F133D" w:rsidRDefault="000F133D" w:rsidP="00292DCC">
      <w:pPr>
        <w:tabs>
          <w:tab w:val="left" w:pos="1257"/>
        </w:tabs>
        <w:spacing w:line="252" w:lineRule="auto"/>
        <w:jc w:val="center"/>
        <w:rPr>
          <w:rFonts w:ascii="Times New Roman" w:hAnsi="Times New Roman"/>
          <w:b/>
          <w:bCs/>
          <w:color w:val="171796"/>
          <w:sz w:val="28"/>
          <w:szCs w:val="40"/>
          <w:lang w:val="hr-HR"/>
        </w:rPr>
      </w:pPr>
      <w:r w:rsidRPr="000F133D">
        <w:rPr>
          <w:rFonts w:ascii="Times New Roman" w:hAnsi="Times New Roman"/>
          <w:b/>
          <w:bCs/>
          <w:color w:val="171796"/>
          <w:sz w:val="28"/>
          <w:szCs w:val="40"/>
          <w:lang w:val="hr-HR"/>
        </w:rPr>
        <w:t>PRILOG 8.</w:t>
      </w:r>
    </w:p>
    <w:p w14:paraId="6E1F5539" w14:textId="77777777" w:rsidR="000F133D" w:rsidRPr="000F133D" w:rsidRDefault="000F133D" w:rsidP="00292DCC">
      <w:pPr>
        <w:spacing w:after="0"/>
        <w:jc w:val="center"/>
        <w:rPr>
          <w:rFonts w:ascii="Times New Roman" w:hAnsi="Times New Roman" w:cs="Times New Roman"/>
          <w:b/>
          <w:sz w:val="24"/>
          <w:szCs w:val="24"/>
          <w:lang w:val="hr-HR"/>
        </w:rPr>
      </w:pPr>
    </w:p>
    <w:p w14:paraId="2C89FC56" w14:textId="28E73D23" w:rsidR="00AB6DBA" w:rsidRDefault="000F133D" w:rsidP="00292DCC">
      <w:pPr>
        <w:spacing w:after="0"/>
        <w:jc w:val="center"/>
        <w:rPr>
          <w:rFonts w:ascii="Times New Roman" w:hAnsi="Times New Roman" w:cs="Times New Roman"/>
          <w:b/>
          <w:sz w:val="24"/>
          <w:szCs w:val="24"/>
          <w:lang w:val="hr-HR"/>
        </w:rPr>
      </w:pPr>
      <w:r w:rsidRPr="000F133D">
        <w:rPr>
          <w:rFonts w:ascii="Times New Roman" w:hAnsi="Times New Roman" w:cs="Times New Roman"/>
          <w:b/>
          <w:sz w:val="24"/>
          <w:szCs w:val="24"/>
          <w:lang w:val="hr-HR"/>
        </w:rPr>
        <w:t>SMJE</w:t>
      </w:r>
      <w:r w:rsidR="00AB6DBA">
        <w:rPr>
          <w:rFonts w:ascii="Times New Roman" w:hAnsi="Times New Roman" w:cs="Times New Roman"/>
          <w:b/>
          <w:sz w:val="24"/>
          <w:szCs w:val="24"/>
          <w:lang w:val="hr-HR"/>
        </w:rPr>
        <w:t>RNICE ZA KORISNIKE VEZANO ZA PRIMJENU</w:t>
      </w:r>
    </w:p>
    <w:p w14:paraId="6E7C8536" w14:textId="1C626FC6" w:rsidR="006C364E" w:rsidRPr="000F133D" w:rsidRDefault="000F133D" w:rsidP="00292DCC">
      <w:pPr>
        <w:spacing w:after="0"/>
        <w:jc w:val="center"/>
        <w:rPr>
          <w:rFonts w:ascii="Times New Roman" w:hAnsi="Times New Roman" w:cs="Times New Roman"/>
          <w:b/>
          <w:sz w:val="24"/>
          <w:szCs w:val="24"/>
          <w:lang w:val="hr-HR"/>
        </w:rPr>
      </w:pPr>
      <w:r w:rsidRPr="000F133D">
        <w:rPr>
          <w:rFonts w:ascii="Times New Roman" w:hAnsi="Times New Roman" w:cs="Times New Roman"/>
          <w:b/>
          <w:sz w:val="24"/>
          <w:szCs w:val="24"/>
          <w:lang w:val="hr-HR"/>
        </w:rPr>
        <w:t>PRAVILA O DRŽAVNIM POTPORAMA</w:t>
      </w:r>
    </w:p>
    <w:p w14:paraId="3A0F6539" w14:textId="77777777" w:rsidR="00130C80" w:rsidRPr="000F133D" w:rsidRDefault="00130C80" w:rsidP="00742B46">
      <w:pPr>
        <w:spacing w:after="0"/>
        <w:jc w:val="both"/>
        <w:rPr>
          <w:rFonts w:ascii="Times New Roman" w:hAnsi="Times New Roman" w:cs="Times New Roman"/>
          <w:lang w:val="hr-HR"/>
        </w:rPr>
      </w:pPr>
    </w:p>
    <w:p w14:paraId="4B80B70B" w14:textId="77777777" w:rsidR="000F133D" w:rsidRPr="000F133D" w:rsidRDefault="000F133D" w:rsidP="00742B46">
      <w:pPr>
        <w:spacing w:after="0"/>
        <w:jc w:val="both"/>
        <w:rPr>
          <w:rFonts w:ascii="Times New Roman" w:hAnsi="Times New Roman" w:cs="Times New Roman"/>
          <w:sz w:val="24"/>
          <w:szCs w:val="24"/>
          <w:lang w:val="hr-HR"/>
        </w:rPr>
      </w:pPr>
    </w:p>
    <w:p w14:paraId="7BAB183D" w14:textId="77777777" w:rsidR="00CD7E3B" w:rsidRPr="000130D9" w:rsidRDefault="006C364E" w:rsidP="00742B46">
      <w:pPr>
        <w:spacing w:after="0"/>
        <w:jc w:val="both"/>
        <w:rPr>
          <w:rFonts w:ascii="Times New Roman" w:hAnsi="Times New Roman" w:cs="Times New Roman"/>
          <w:sz w:val="24"/>
          <w:szCs w:val="24"/>
          <w:lang w:val="hr-HR"/>
        </w:rPr>
      </w:pPr>
      <w:r w:rsidRPr="000F133D">
        <w:rPr>
          <w:rFonts w:ascii="Times New Roman" w:hAnsi="Times New Roman" w:cs="Times New Roman"/>
          <w:sz w:val="24"/>
          <w:szCs w:val="24"/>
          <w:lang w:val="hr-HR"/>
        </w:rPr>
        <w:t xml:space="preserve">Ovaj Prilog </w:t>
      </w:r>
      <w:r w:rsidR="00A25C59" w:rsidRPr="000F133D">
        <w:rPr>
          <w:rFonts w:ascii="Times New Roman" w:hAnsi="Times New Roman" w:cs="Times New Roman"/>
          <w:sz w:val="24"/>
          <w:szCs w:val="24"/>
          <w:lang w:val="hr-HR"/>
        </w:rPr>
        <w:t>ima za cilj informirati potencijalne prijavitelj</w:t>
      </w:r>
      <w:r w:rsidR="006569E7" w:rsidRPr="000F133D">
        <w:rPr>
          <w:rFonts w:ascii="Times New Roman" w:hAnsi="Times New Roman" w:cs="Times New Roman"/>
          <w:sz w:val="24"/>
          <w:szCs w:val="24"/>
          <w:lang w:val="hr-HR"/>
        </w:rPr>
        <w:t>e</w:t>
      </w:r>
      <w:r w:rsidR="00EC094D" w:rsidRPr="000F133D">
        <w:rPr>
          <w:rFonts w:ascii="Times New Roman" w:hAnsi="Times New Roman" w:cs="Times New Roman"/>
          <w:sz w:val="24"/>
          <w:szCs w:val="24"/>
          <w:lang w:val="hr-HR"/>
        </w:rPr>
        <w:t xml:space="preserve"> i partnere</w:t>
      </w:r>
      <w:r w:rsidR="00A25C59" w:rsidRPr="000F133D">
        <w:rPr>
          <w:rFonts w:ascii="Times New Roman" w:hAnsi="Times New Roman" w:cs="Times New Roman"/>
          <w:sz w:val="24"/>
          <w:szCs w:val="24"/>
          <w:lang w:val="hr-HR"/>
        </w:rPr>
        <w:t xml:space="preserve"> o pravilima o </w:t>
      </w:r>
      <w:r w:rsidRPr="000F133D">
        <w:rPr>
          <w:rFonts w:ascii="Times New Roman" w:hAnsi="Times New Roman" w:cs="Times New Roman"/>
          <w:sz w:val="24"/>
          <w:szCs w:val="24"/>
          <w:lang w:val="hr-HR"/>
        </w:rPr>
        <w:t>državn</w:t>
      </w:r>
      <w:r w:rsidR="00A25C59" w:rsidRPr="000F133D">
        <w:rPr>
          <w:rFonts w:ascii="Times New Roman" w:hAnsi="Times New Roman" w:cs="Times New Roman"/>
          <w:sz w:val="24"/>
          <w:szCs w:val="24"/>
          <w:lang w:val="hr-HR"/>
        </w:rPr>
        <w:t>im</w:t>
      </w:r>
      <w:r w:rsidRPr="000F133D">
        <w:rPr>
          <w:rFonts w:ascii="Times New Roman" w:hAnsi="Times New Roman" w:cs="Times New Roman"/>
          <w:sz w:val="24"/>
          <w:szCs w:val="24"/>
          <w:lang w:val="hr-HR"/>
        </w:rPr>
        <w:t xml:space="preserve"> potpor</w:t>
      </w:r>
      <w:r w:rsidR="00A25C59" w:rsidRPr="000F133D">
        <w:rPr>
          <w:rFonts w:ascii="Times New Roman" w:hAnsi="Times New Roman" w:cs="Times New Roman"/>
          <w:sz w:val="24"/>
          <w:szCs w:val="24"/>
          <w:lang w:val="hr-HR"/>
        </w:rPr>
        <w:t>ama koj</w:t>
      </w:r>
      <w:r w:rsidR="002E3F46" w:rsidRPr="000F133D">
        <w:rPr>
          <w:rFonts w:ascii="Times New Roman" w:hAnsi="Times New Roman" w:cs="Times New Roman"/>
          <w:sz w:val="24"/>
          <w:szCs w:val="24"/>
          <w:lang w:val="hr-HR"/>
        </w:rPr>
        <w:t xml:space="preserve">a se odnose na </w:t>
      </w:r>
      <w:r w:rsidR="006569E7" w:rsidRPr="000F133D">
        <w:rPr>
          <w:rFonts w:ascii="Times New Roman" w:hAnsi="Times New Roman" w:cs="Times New Roman"/>
          <w:sz w:val="24"/>
          <w:szCs w:val="24"/>
          <w:lang w:val="hr-HR"/>
        </w:rPr>
        <w:t>područje</w:t>
      </w:r>
      <w:r w:rsidR="002E3F46" w:rsidRPr="000F133D">
        <w:rPr>
          <w:rFonts w:ascii="Times New Roman" w:hAnsi="Times New Roman" w:cs="Times New Roman"/>
          <w:sz w:val="24"/>
          <w:szCs w:val="24"/>
          <w:lang w:val="hr-HR"/>
        </w:rPr>
        <w:t xml:space="preserve"> istraživanja, razvoja i inovacija</w:t>
      </w:r>
      <w:r w:rsidR="00495916" w:rsidRPr="000F133D">
        <w:rPr>
          <w:rFonts w:ascii="Times New Roman" w:hAnsi="Times New Roman" w:cs="Times New Roman"/>
          <w:sz w:val="24"/>
          <w:szCs w:val="24"/>
          <w:lang w:val="hr-HR"/>
        </w:rPr>
        <w:t>.</w:t>
      </w:r>
      <w:r w:rsidRPr="000F133D" w:rsidDel="006C364E">
        <w:rPr>
          <w:rFonts w:ascii="Times New Roman" w:hAnsi="Times New Roman" w:cs="Times New Roman"/>
          <w:sz w:val="24"/>
          <w:szCs w:val="24"/>
          <w:lang w:val="hr-HR"/>
        </w:rPr>
        <w:t xml:space="preserve"> </w:t>
      </w:r>
      <w:r w:rsidR="0034273C" w:rsidRPr="000F133D">
        <w:rPr>
          <w:rFonts w:ascii="Times New Roman" w:hAnsi="Times New Roman" w:cs="Times New Roman"/>
          <w:sz w:val="24"/>
          <w:szCs w:val="24"/>
          <w:lang w:val="hr-HR"/>
        </w:rPr>
        <w:t xml:space="preserve"> </w:t>
      </w:r>
      <w:r w:rsidR="00CD7E3B" w:rsidRPr="000F133D">
        <w:rPr>
          <w:rFonts w:ascii="Times New Roman" w:hAnsi="Times New Roman" w:cs="Times New Roman"/>
          <w:sz w:val="24"/>
          <w:szCs w:val="24"/>
          <w:lang w:val="hr-HR"/>
        </w:rPr>
        <w:t xml:space="preserve">Prijavitelji i partneri su pozvani da prouče ove Smjernice kako bi razumjeli pojam državnih potpora, </w:t>
      </w:r>
      <w:r w:rsidR="00213774" w:rsidRPr="000F133D">
        <w:rPr>
          <w:rFonts w:ascii="Times New Roman" w:hAnsi="Times New Roman" w:cs="Times New Roman"/>
          <w:sz w:val="24"/>
          <w:szCs w:val="24"/>
          <w:lang w:val="hr-HR"/>
        </w:rPr>
        <w:t>i koja pravila moraju poštovati korisnici državne potpore – poduzetnici, a koja znanstvene</w:t>
      </w:r>
      <w:r w:rsidR="00213774" w:rsidRPr="000130D9">
        <w:rPr>
          <w:rFonts w:ascii="Times New Roman" w:hAnsi="Times New Roman" w:cs="Times New Roman"/>
          <w:sz w:val="24"/>
          <w:szCs w:val="24"/>
          <w:lang w:val="hr-HR"/>
        </w:rPr>
        <w:t xml:space="preserve"> organizacije kako sredstva dodijeljena temeljem ovog poziva ne bi predstavljala državnu potporu. </w:t>
      </w:r>
    </w:p>
    <w:p w14:paraId="6DCDE8DF" w14:textId="77777777" w:rsidR="00CD7E3B" w:rsidRPr="000130D9" w:rsidRDefault="00CD7E3B" w:rsidP="00742B46">
      <w:pPr>
        <w:spacing w:after="0"/>
        <w:jc w:val="both"/>
        <w:rPr>
          <w:rFonts w:ascii="Times New Roman" w:hAnsi="Times New Roman" w:cs="Times New Roman"/>
          <w:sz w:val="24"/>
          <w:szCs w:val="24"/>
          <w:lang w:val="hr-HR"/>
        </w:rPr>
      </w:pPr>
    </w:p>
    <w:p w14:paraId="0F6BB803" w14:textId="6CF92F92" w:rsidR="00524420" w:rsidRPr="000130D9" w:rsidRDefault="00EC094D" w:rsidP="00742B46">
      <w:p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Smjernice su utemeljene na </w:t>
      </w:r>
      <w:r w:rsidR="00524420" w:rsidRPr="000130D9">
        <w:rPr>
          <w:rFonts w:ascii="Times New Roman" w:hAnsi="Times New Roman" w:cs="Times New Roman"/>
          <w:sz w:val="24"/>
          <w:szCs w:val="24"/>
          <w:lang w:val="hr-HR"/>
        </w:rPr>
        <w:t xml:space="preserve">odredbama </w:t>
      </w:r>
      <w:r w:rsidR="00A75D02" w:rsidRPr="000130D9">
        <w:rPr>
          <w:rFonts w:ascii="Times New Roman" w:hAnsi="Times New Roman" w:cs="Times New Roman"/>
          <w:sz w:val="24"/>
          <w:szCs w:val="24"/>
          <w:lang w:val="hr-HR"/>
        </w:rPr>
        <w:t>Okvir</w:t>
      </w:r>
      <w:r w:rsidRPr="000130D9">
        <w:rPr>
          <w:rFonts w:ascii="Times New Roman" w:hAnsi="Times New Roman" w:cs="Times New Roman"/>
          <w:sz w:val="24"/>
          <w:szCs w:val="24"/>
          <w:lang w:val="hr-HR"/>
        </w:rPr>
        <w:t>a</w:t>
      </w:r>
      <w:r w:rsidR="00A75D02" w:rsidRPr="000130D9">
        <w:rPr>
          <w:rFonts w:ascii="Times New Roman" w:hAnsi="Times New Roman" w:cs="Times New Roman"/>
          <w:sz w:val="24"/>
          <w:szCs w:val="24"/>
          <w:lang w:val="hr-HR"/>
        </w:rPr>
        <w:t xml:space="preserve"> </w:t>
      </w:r>
      <w:r w:rsidR="006C364E" w:rsidRPr="000130D9">
        <w:rPr>
          <w:rFonts w:ascii="Times New Roman" w:hAnsi="Times New Roman" w:cs="Times New Roman"/>
          <w:sz w:val="24"/>
          <w:szCs w:val="24"/>
          <w:lang w:val="hr-HR"/>
        </w:rPr>
        <w:t xml:space="preserve">Zajednice </w:t>
      </w:r>
      <w:r w:rsidR="00A75D02" w:rsidRPr="000130D9">
        <w:rPr>
          <w:rFonts w:ascii="Times New Roman" w:hAnsi="Times New Roman" w:cs="Times New Roman"/>
          <w:sz w:val="24"/>
          <w:szCs w:val="24"/>
          <w:lang w:val="hr-HR"/>
        </w:rPr>
        <w:t>za državne potpore za istraživanje</w:t>
      </w:r>
      <w:r w:rsidR="00F06414" w:rsidRPr="000130D9">
        <w:rPr>
          <w:rFonts w:ascii="Times New Roman" w:hAnsi="Times New Roman" w:cs="Times New Roman"/>
          <w:sz w:val="24"/>
          <w:szCs w:val="24"/>
          <w:lang w:val="hr-HR"/>
        </w:rPr>
        <w:t xml:space="preserve"> i</w:t>
      </w:r>
      <w:r w:rsidR="00A75D02" w:rsidRPr="000130D9">
        <w:rPr>
          <w:rFonts w:ascii="Times New Roman" w:hAnsi="Times New Roman" w:cs="Times New Roman"/>
          <w:sz w:val="24"/>
          <w:szCs w:val="24"/>
          <w:lang w:val="hr-HR"/>
        </w:rPr>
        <w:t xml:space="preserve"> razvoj i inovacije</w:t>
      </w:r>
      <w:r w:rsidR="009D428F" w:rsidRPr="000130D9">
        <w:rPr>
          <w:rStyle w:val="FootnoteReference"/>
          <w:rFonts w:ascii="Times New Roman" w:hAnsi="Times New Roman" w:cs="Times New Roman"/>
          <w:sz w:val="24"/>
          <w:szCs w:val="24"/>
          <w:lang w:val="hr-HR"/>
        </w:rPr>
        <w:footnoteReference w:id="1"/>
      </w:r>
      <w:r w:rsidR="00CE311C" w:rsidRPr="000130D9">
        <w:rPr>
          <w:rFonts w:ascii="Times New Roman" w:hAnsi="Times New Roman" w:cs="Times New Roman"/>
          <w:sz w:val="24"/>
          <w:szCs w:val="24"/>
          <w:lang w:val="hr-HR"/>
        </w:rPr>
        <w:t xml:space="preserve"> </w:t>
      </w:r>
      <w:r w:rsidR="007B2DAC" w:rsidRPr="000130D9">
        <w:rPr>
          <w:rFonts w:ascii="Times New Roman" w:hAnsi="Times New Roman" w:cs="Times New Roman"/>
          <w:sz w:val="24"/>
          <w:szCs w:val="24"/>
          <w:lang w:val="hr-HR"/>
        </w:rPr>
        <w:t xml:space="preserve">(2014/C 198/01) </w:t>
      </w:r>
      <w:r w:rsidR="009D428F" w:rsidRPr="000130D9">
        <w:rPr>
          <w:rFonts w:ascii="Times New Roman" w:hAnsi="Times New Roman" w:cs="Times New Roman"/>
          <w:sz w:val="24"/>
          <w:szCs w:val="24"/>
          <w:lang w:val="hr-HR"/>
        </w:rPr>
        <w:t>(</w:t>
      </w:r>
      <w:r w:rsidR="00A75D02" w:rsidRPr="000130D9">
        <w:rPr>
          <w:rFonts w:ascii="Times New Roman" w:hAnsi="Times New Roman" w:cs="Times New Roman"/>
          <w:sz w:val="24"/>
          <w:szCs w:val="24"/>
          <w:lang w:val="hr-HR"/>
        </w:rPr>
        <w:t>u daljnjem tekstu</w:t>
      </w:r>
      <w:r w:rsidR="00CD7E3B" w:rsidRPr="000130D9">
        <w:rPr>
          <w:rFonts w:ascii="Times New Roman" w:hAnsi="Times New Roman" w:cs="Times New Roman"/>
          <w:sz w:val="24"/>
          <w:szCs w:val="24"/>
          <w:lang w:val="hr-HR"/>
        </w:rPr>
        <w:t>:</w:t>
      </w:r>
      <w:r w:rsidR="00A75D02" w:rsidRPr="000130D9">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Okvir Zajednice</w:t>
      </w:r>
      <w:r w:rsidR="009D428F" w:rsidRPr="000130D9">
        <w:rPr>
          <w:rFonts w:ascii="Times New Roman" w:hAnsi="Times New Roman" w:cs="Times New Roman"/>
          <w:sz w:val="24"/>
          <w:szCs w:val="24"/>
          <w:lang w:val="hr-HR"/>
        </w:rPr>
        <w:t>)</w:t>
      </w:r>
      <w:r w:rsidR="0039346D" w:rsidRPr="000130D9">
        <w:rPr>
          <w:rFonts w:ascii="Times New Roman" w:hAnsi="Times New Roman" w:cs="Times New Roman"/>
          <w:sz w:val="24"/>
          <w:szCs w:val="24"/>
          <w:lang w:val="hr-HR"/>
        </w:rPr>
        <w:t xml:space="preserve"> </w:t>
      </w:r>
      <w:r w:rsidR="00213774" w:rsidRPr="000130D9">
        <w:rPr>
          <w:rFonts w:ascii="Times New Roman" w:hAnsi="Times New Roman" w:cs="Times New Roman"/>
          <w:sz w:val="24"/>
          <w:szCs w:val="24"/>
          <w:lang w:val="hr-HR"/>
        </w:rPr>
        <w:t xml:space="preserve">koji </w:t>
      </w:r>
      <w:r w:rsidR="00C35659" w:rsidRPr="000130D9">
        <w:rPr>
          <w:rFonts w:ascii="Times New Roman" w:hAnsi="Times New Roman" w:cs="Times New Roman"/>
          <w:sz w:val="24"/>
          <w:szCs w:val="24"/>
          <w:lang w:val="hr-HR"/>
        </w:rPr>
        <w:t>utvrđ</w:t>
      </w:r>
      <w:r w:rsidR="00A25C59" w:rsidRPr="000130D9">
        <w:rPr>
          <w:rFonts w:ascii="Times New Roman" w:hAnsi="Times New Roman" w:cs="Times New Roman"/>
          <w:sz w:val="24"/>
          <w:szCs w:val="24"/>
          <w:lang w:val="hr-HR"/>
        </w:rPr>
        <w:t>uje</w:t>
      </w:r>
      <w:r w:rsidR="00A75D02" w:rsidRPr="000130D9">
        <w:rPr>
          <w:rFonts w:ascii="Times New Roman" w:hAnsi="Times New Roman" w:cs="Times New Roman"/>
          <w:sz w:val="24"/>
          <w:szCs w:val="24"/>
          <w:lang w:val="hr-HR"/>
        </w:rPr>
        <w:t xml:space="preserve"> detaljna pravila koja se odnose na</w:t>
      </w:r>
      <w:r w:rsidR="0039346D" w:rsidRPr="000130D9">
        <w:rPr>
          <w:rFonts w:ascii="Times New Roman" w:hAnsi="Times New Roman" w:cs="Times New Roman"/>
          <w:sz w:val="24"/>
          <w:szCs w:val="24"/>
          <w:lang w:val="hr-HR"/>
        </w:rPr>
        <w:t xml:space="preserve"> </w:t>
      </w:r>
      <w:r w:rsidR="00C35659" w:rsidRPr="000130D9">
        <w:rPr>
          <w:rFonts w:ascii="Times New Roman" w:hAnsi="Times New Roman" w:cs="Times New Roman"/>
          <w:sz w:val="24"/>
          <w:szCs w:val="24"/>
          <w:lang w:val="hr-HR"/>
        </w:rPr>
        <w:t>postojanje državnih potpora u projektima</w:t>
      </w:r>
      <w:r w:rsidR="00524420" w:rsidRPr="000130D9">
        <w:rPr>
          <w:rFonts w:ascii="Times New Roman" w:hAnsi="Times New Roman" w:cs="Times New Roman"/>
          <w:sz w:val="24"/>
          <w:szCs w:val="24"/>
          <w:lang w:val="hr-HR"/>
        </w:rPr>
        <w:t xml:space="preserve"> istraživanja i razvoja</w:t>
      </w:r>
      <w:r w:rsidR="00213774" w:rsidRPr="000130D9">
        <w:rPr>
          <w:rFonts w:ascii="Times New Roman" w:hAnsi="Times New Roman" w:cs="Times New Roman"/>
          <w:sz w:val="24"/>
          <w:szCs w:val="24"/>
          <w:lang w:val="hr-HR"/>
        </w:rPr>
        <w:t xml:space="preserve"> te na Uredbi Komisije (EU) br. 651/2014. od 17. lipnja 2014. godine o ocjenjivanju određenih kategorija potpora spojivima s unutarnjim tržištem u primjeni članaka 107. i 108.</w:t>
      </w:r>
      <w:r w:rsidR="0028469A">
        <w:rPr>
          <w:rStyle w:val="FootnoteReference"/>
          <w:rFonts w:ascii="Times New Roman" w:hAnsi="Times New Roman" w:cs="Times New Roman"/>
          <w:sz w:val="24"/>
          <w:szCs w:val="24"/>
          <w:lang w:val="hr-HR"/>
        </w:rPr>
        <w:footnoteReference w:id="2"/>
      </w:r>
      <w:r w:rsidR="00360232" w:rsidRPr="000130D9">
        <w:rPr>
          <w:rFonts w:ascii="Times New Roman" w:hAnsi="Times New Roman" w:cs="Times New Roman"/>
          <w:sz w:val="24"/>
          <w:szCs w:val="24"/>
          <w:lang w:val="hr-HR"/>
        </w:rPr>
        <w:t>,</w:t>
      </w:r>
      <w:r w:rsidR="002237E0" w:rsidRPr="000130D9">
        <w:rPr>
          <w:rFonts w:ascii="Times New Roman" w:hAnsi="Times New Roman" w:cs="Times New Roman"/>
          <w:sz w:val="24"/>
          <w:szCs w:val="24"/>
          <w:lang w:val="hr-HR"/>
        </w:rPr>
        <w:t xml:space="preserve"> Uredb</w:t>
      </w:r>
      <w:r w:rsidR="00CF0F44">
        <w:rPr>
          <w:rFonts w:ascii="Times New Roman" w:hAnsi="Times New Roman" w:cs="Times New Roman"/>
          <w:sz w:val="24"/>
          <w:szCs w:val="24"/>
          <w:lang w:val="hr-HR"/>
        </w:rPr>
        <w:t>i</w:t>
      </w:r>
      <w:r w:rsidR="002237E0" w:rsidRPr="000130D9">
        <w:rPr>
          <w:rFonts w:ascii="Times New Roman" w:hAnsi="Times New Roman" w:cs="Times New Roman"/>
          <w:sz w:val="24"/>
          <w:szCs w:val="24"/>
          <w:lang w:val="hr-HR"/>
        </w:rPr>
        <w:t xml:space="preserve"> </w:t>
      </w:r>
      <w:r w:rsidR="00360232" w:rsidRPr="000130D9">
        <w:rPr>
          <w:rFonts w:ascii="Times New Roman" w:hAnsi="Times New Roman" w:cs="Times New Roman"/>
          <w:sz w:val="24"/>
          <w:szCs w:val="24"/>
          <w:lang w:val="hr-HR"/>
        </w:rPr>
        <w:t>K</w:t>
      </w:r>
      <w:r w:rsidR="002237E0" w:rsidRPr="000130D9">
        <w:rPr>
          <w:rFonts w:ascii="Times New Roman" w:hAnsi="Times New Roman" w:cs="Times New Roman"/>
          <w:sz w:val="24"/>
          <w:szCs w:val="24"/>
          <w:lang w:val="hr-HR"/>
        </w:rPr>
        <w:t>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w:t>
      </w:r>
      <w:r w:rsidR="002237E0" w:rsidRPr="000130D9">
        <w:rPr>
          <w:rStyle w:val="FootnoteReference"/>
          <w:rFonts w:ascii="Times New Roman" w:hAnsi="Times New Roman" w:cs="Times New Roman"/>
          <w:sz w:val="24"/>
          <w:szCs w:val="24"/>
          <w:lang w:val="hr-HR"/>
        </w:rPr>
        <w:footnoteReference w:id="3"/>
      </w:r>
      <w:r w:rsidR="00D951EE" w:rsidRPr="000130D9">
        <w:rPr>
          <w:rFonts w:ascii="Times New Roman" w:hAnsi="Times New Roman" w:cs="Times New Roman"/>
          <w:sz w:val="24"/>
          <w:szCs w:val="24"/>
          <w:lang w:val="hr-HR"/>
        </w:rPr>
        <w:t>, Uredb</w:t>
      </w:r>
      <w:r w:rsidR="00CF0F44">
        <w:rPr>
          <w:rFonts w:ascii="Times New Roman" w:hAnsi="Times New Roman" w:cs="Times New Roman"/>
          <w:sz w:val="24"/>
          <w:szCs w:val="24"/>
          <w:lang w:val="hr-HR"/>
        </w:rPr>
        <w:t>i</w:t>
      </w:r>
      <w:r w:rsidR="00D951EE" w:rsidRPr="000130D9">
        <w:rPr>
          <w:rFonts w:ascii="Times New Roman" w:hAnsi="Times New Roman" w:cs="Times New Roman"/>
          <w:sz w:val="24"/>
          <w:szCs w:val="24"/>
          <w:lang w:val="hr-HR"/>
        </w:rPr>
        <w:t xml:space="preserve"> Komisije (EU) 2020/972 od 2. srpnja 2020. o izmjeni Uredbe (EU) br. 1407/2013 u pogledu njezina produljenja i o izmjeni Uredbe (EU) br. 651/2014 u pogledu njezina produljenja i odgovarajućih prilagodbi</w:t>
      </w:r>
      <w:r w:rsidR="00D951EE" w:rsidRPr="000130D9">
        <w:rPr>
          <w:rStyle w:val="FootnoteReference"/>
          <w:rFonts w:ascii="Times New Roman" w:hAnsi="Times New Roman" w:cs="Times New Roman"/>
          <w:sz w:val="24"/>
          <w:szCs w:val="24"/>
          <w:lang w:val="hr-HR"/>
        </w:rPr>
        <w:footnoteReference w:id="4"/>
      </w:r>
      <w:r w:rsidR="00D951EE" w:rsidRPr="000130D9">
        <w:rPr>
          <w:rFonts w:ascii="Times New Roman" w:hAnsi="Times New Roman" w:cs="Times New Roman"/>
          <w:sz w:val="24"/>
          <w:szCs w:val="24"/>
          <w:lang w:val="hr-HR"/>
        </w:rPr>
        <w:t xml:space="preserve"> te Uredba Komisije (EU) 2021/1237 </w:t>
      </w:r>
      <w:proofErr w:type="spellStart"/>
      <w:r w:rsidR="00D951EE" w:rsidRPr="000130D9">
        <w:rPr>
          <w:rFonts w:ascii="Times New Roman" w:hAnsi="Times New Roman" w:cs="Times New Roman"/>
          <w:sz w:val="24"/>
          <w:szCs w:val="24"/>
          <w:lang w:val="hr-HR"/>
        </w:rPr>
        <w:t>оd</w:t>
      </w:r>
      <w:proofErr w:type="spellEnd"/>
      <w:r w:rsidR="00D951EE" w:rsidRPr="000130D9">
        <w:rPr>
          <w:rFonts w:ascii="Times New Roman" w:hAnsi="Times New Roman" w:cs="Times New Roman"/>
          <w:sz w:val="24"/>
          <w:szCs w:val="24"/>
          <w:lang w:val="hr-HR"/>
        </w:rPr>
        <w:t xml:space="preserve"> 23. srpnja 2021. o izmjeni Uredbe (EU) br. 651/2014 o ocjenjivanju određenih kategorija potpora spojivima s unutarnjim tržištem u primjeni članaka 107. i 108. Ugovora</w:t>
      </w:r>
      <w:r w:rsidR="00D951EE" w:rsidRPr="000130D9">
        <w:rPr>
          <w:rStyle w:val="FootnoteReference"/>
          <w:rFonts w:ascii="Times New Roman" w:hAnsi="Times New Roman" w:cs="Times New Roman"/>
          <w:sz w:val="24"/>
          <w:szCs w:val="24"/>
          <w:lang w:val="hr-HR"/>
        </w:rPr>
        <w:footnoteReference w:id="5"/>
      </w:r>
      <w:r w:rsidR="00213774" w:rsidRPr="000130D9">
        <w:rPr>
          <w:rFonts w:ascii="Times New Roman" w:hAnsi="Times New Roman" w:cs="Times New Roman"/>
          <w:sz w:val="24"/>
          <w:szCs w:val="24"/>
          <w:lang w:val="hr-HR"/>
        </w:rPr>
        <w:t>.</w:t>
      </w:r>
    </w:p>
    <w:p w14:paraId="327F0E74" w14:textId="52A661E1" w:rsidR="0039346D" w:rsidRDefault="0039346D" w:rsidP="00742B46">
      <w:pPr>
        <w:spacing w:after="0"/>
        <w:jc w:val="both"/>
        <w:rPr>
          <w:rFonts w:ascii="Times New Roman" w:hAnsi="Times New Roman" w:cs="Times New Roman"/>
          <w:sz w:val="24"/>
          <w:szCs w:val="24"/>
          <w:lang w:val="hr-HR"/>
        </w:rPr>
      </w:pPr>
    </w:p>
    <w:p w14:paraId="23FB034E" w14:textId="77777777" w:rsidR="000F133D" w:rsidRDefault="000F133D" w:rsidP="00742B46">
      <w:pPr>
        <w:spacing w:after="0"/>
        <w:jc w:val="both"/>
        <w:rPr>
          <w:rFonts w:ascii="Times New Roman" w:hAnsi="Times New Roman" w:cs="Times New Roman"/>
          <w:sz w:val="24"/>
          <w:szCs w:val="24"/>
          <w:lang w:val="hr-HR"/>
        </w:rPr>
      </w:pPr>
    </w:p>
    <w:p w14:paraId="6FBA86CC" w14:textId="77777777" w:rsidR="000F133D" w:rsidRPr="000130D9" w:rsidRDefault="000F133D" w:rsidP="00742B46">
      <w:pPr>
        <w:spacing w:after="0"/>
        <w:jc w:val="both"/>
        <w:rPr>
          <w:rFonts w:ascii="Times New Roman" w:hAnsi="Times New Roman" w:cs="Times New Roman"/>
          <w:sz w:val="24"/>
          <w:szCs w:val="24"/>
          <w:lang w:val="hr-HR"/>
        </w:rPr>
      </w:pPr>
    </w:p>
    <w:p w14:paraId="61D23A8A" w14:textId="77777777" w:rsidR="000F133D" w:rsidRDefault="000F133D" w:rsidP="00742B46">
      <w:pPr>
        <w:spacing w:after="0"/>
        <w:jc w:val="both"/>
        <w:rPr>
          <w:rFonts w:ascii="Times New Roman" w:hAnsi="Times New Roman" w:cs="Times New Roman"/>
          <w:sz w:val="24"/>
          <w:szCs w:val="24"/>
          <w:lang w:val="hr-HR"/>
        </w:rPr>
      </w:pPr>
    </w:p>
    <w:p w14:paraId="28EA89C5" w14:textId="77777777" w:rsidR="00A373AF" w:rsidRDefault="00A373AF" w:rsidP="00742B46">
      <w:pPr>
        <w:spacing w:after="0"/>
        <w:jc w:val="both"/>
        <w:rPr>
          <w:rFonts w:ascii="Times New Roman" w:hAnsi="Times New Roman" w:cs="Times New Roman"/>
          <w:sz w:val="24"/>
          <w:szCs w:val="24"/>
          <w:lang w:val="hr-HR"/>
        </w:rPr>
      </w:pPr>
    </w:p>
    <w:p w14:paraId="4F5A36EE" w14:textId="77777777" w:rsidR="006B3514" w:rsidRPr="000130D9" w:rsidRDefault="00EC094D" w:rsidP="00742B46">
      <w:p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Pojam državnih potpora zahtjeva da su kumulativno zadovoljena sljedeća četiri kriterija</w:t>
      </w:r>
      <w:r w:rsidRPr="000130D9">
        <w:rPr>
          <w:rFonts w:ascii="Times New Roman" w:hAnsi="Times New Roman" w:cs="Times New Roman"/>
          <w:sz w:val="24"/>
          <w:szCs w:val="24"/>
          <w:vertAlign w:val="superscript"/>
          <w:lang w:val="hr-HR"/>
        </w:rPr>
        <w:footnoteReference w:id="6"/>
      </w:r>
      <w:r w:rsidRPr="000130D9">
        <w:rPr>
          <w:rFonts w:ascii="Times New Roman" w:hAnsi="Times New Roman" w:cs="Times New Roman"/>
          <w:sz w:val="24"/>
          <w:szCs w:val="24"/>
          <w:lang w:val="hr-HR"/>
        </w:rPr>
        <w:t>:</w:t>
      </w:r>
    </w:p>
    <w:p w14:paraId="52FA2A8B" w14:textId="77777777" w:rsidR="00524D9B" w:rsidRPr="000130D9" w:rsidRDefault="00EC094D" w:rsidP="00742B46">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da su sredstva dodijeljena od strane Države odnosno iz državnih sredstava u bilo kojem obliku, </w:t>
      </w:r>
    </w:p>
    <w:p w14:paraId="623EE76B" w14:textId="77777777" w:rsidR="00524D9B" w:rsidRPr="000130D9" w:rsidRDefault="00EC094D" w:rsidP="00742B46">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da potpora predstavlja selektivnu ekonomsku prednost stavljanjem određenih poduzetnika ili proizvodnju određene robe u povoljniji položaj, </w:t>
      </w:r>
    </w:p>
    <w:p w14:paraId="2240D44E" w14:textId="77777777" w:rsidR="00524D9B" w:rsidRPr="000130D9" w:rsidRDefault="00EC094D" w:rsidP="00742B46">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da potpora narušava ili prijeti narušavanjem tržišnog natjecanja</w:t>
      </w:r>
      <w:r w:rsidR="00524D9B" w:rsidRPr="000130D9">
        <w:rPr>
          <w:rFonts w:ascii="Times New Roman" w:hAnsi="Times New Roman" w:cs="Times New Roman"/>
          <w:sz w:val="24"/>
          <w:szCs w:val="24"/>
          <w:lang w:val="hr-HR"/>
        </w:rPr>
        <w:t>,</w:t>
      </w:r>
      <w:r w:rsidRPr="000130D9">
        <w:rPr>
          <w:rFonts w:ascii="Times New Roman" w:hAnsi="Times New Roman" w:cs="Times New Roman"/>
          <w:sz w:val="24"/>
          <w:szCs w:val="24"/>
          <w:lang w:val="hr-HR"/>
        </w:rPr>
        <w:t xml:space="preserve"> </w:t>
      </w:r>
    </w:p>
    <w:p w14:paraId="2C1D8569" w14:textId="77777777" w:rsidR="00EC094D" w:rsidRDefault="00EC094D" w:rsidP="00742B46">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utječe na trgovinu među državama članicama.</w:t>
      </w:r>
    </w:p>
    <w:p w14:paraId="741C90AB" w14:textId="77777777" w:rsidR="000F133D" w:rsidRDefault="000F133D" w:rsidP="00742B46">
      <w:pPr>
        <w:pStyle w:val="ListParagraph"/>
        <w:spacing w:after="0"/>
        <w:ind w:left="1077"/>
        <w:jc w:val="both"/>
        <w:rPr>
          <w:rFonts w:ascii="Times New Roman" w:hAnsi="Times New Roman" w:cs="Times New Roman"/>
          <w:sz w:val="24"/>
          <w:szCs w:val="24"/>
          <w:lang w:val="hr-HR"/>
        </w:rPr>
      </w:pPr>
    </w:p>
    <w:p w14:paraId="56F222ED" w14:textId="77777777" w:rsidR="003D1702" w:rsidRPr="000130D9" w:rsidRDefault="003D1702" w:rsidP="00742B46">
      <w:pPr>
        <w:pStyle w:val="ListParagraph"/>
        <w:spacing w:after="0"/>
        <w:ind w:left="1077"/>
        <w:jc w:val="both"/>
        <w:rPr>
          <w:rFonts w:ascii="Times New Roman" w:hAnsi="Times New Roman" w:cs="Times New Roman"/>
          <w:sz w:val="24"/>
          <w:szCs w:val="24"/>
          <w:lang w:val="hr-HR"/>
        </w:rPr>
      </w:pPr>
    </w:p>
    <w:p w14:paraId="15470E44" w14:textId="60EAEFFA" w:rsidR="00F05D3F" w:rsidRPr="000F133D" w:rsidRDefault="00FD72A3" w:rsidP="00742B46">
      <w:pPr>
        <w:pStyle w:val="Heading1"/>
        <w:numPr>
          <w:ilvl w:val="0"/>
          <w:numId w:val="0"/>
        </w:numPr>
        <w:pBdr>
          <w:top w:val="single" w:sz="4" w:space="1" w:color="auto"/>
          <w:left w:val="single" w:sz="4" w:space="4" w:color="auto"/>
          <w:bottom w:val="single" w:sz="4" w:space="1" w:color="auto"/>
          <w:right w:val="single" w:sz="4" w:space="4" w:color="auto"/>
        </w:pBdr>
        <w:shd w:val="clear" w:color="auto" w:fill="8DB3E2" w:themeFill="text2" w:themeFillTint="66"/>
        <w:spacing w:before="0"/>
        <w:jc w:val="both"/>
        <w:rPr>
          <w:rFonts w:ascii="Times New Roman" w:hAnsi="Times New Roman" w:cs="Times New Roman"/>
          <w:sz w:val="26"/>
          <w:szCs w:val="26"/>
          <w:lang w:val="hr-HR"/>
        </w:rPr>
      </w:pPr>
      <w:r w:rsidRPr="000F133D">
        <w:rPr>
          <w:rFonts w:ascii="Times New Roman" w:hAnsi="Times New Roman" w:cs="Times New Roman"/>
          <w:sz w:val="26"/>
          <w:szCs w:val="26"/>
          <w:lang w:val="hr-HR"/>
        </w:rPr>
        <w:t xml:space="preserve">Uvjeti za </w:t>
      </w:r>
      <w:r w:rsidR="00F05D3F" w:rsidRPr="000F133D">
        <w:rPr>
          <w:rFonts w:ascii="Times New Roman" w:hAnsi="Times New Roman" w:cs="Times New Roman"/>
          <w:sz w:val="26"/>
          <w:szCs w:val="26"/>
          <w:lang w:val="hr-HR"/>
        </w:rPr>
        <w:t xml:space="preserve">istraživačke organizacije </w:t>
      </w:r>
    </w:p>
    <w:p w14:paraId="61FB0C9C" w14:textId="77777777" w:rsidR="00F05D3F" w:rsidRPr="000130D9" w:rsidRDefault="00F05D3F" w:rsidP="00742B46">
      <w:pPr>
        <w:spacing w:after="0"/>
        <w:jc w:val="both"/>
        <w:rPr>
          <w:rFonts w:ascii="Times New Roman" w:hAnsi="Times New Roman" w:cs="Times New Roman"/>
          <w:sz w:val="24"/>
          <w:szCs w:val="24"/>
          <w:lang w:val="hr-HR"/>
        </w:rPr>
      </w:pPr>
    </w:p>
    <w:p w14:paraId="771FA891" w14:textId="67395FA8" w:rsidR="000402DC" w:rsidRPr="000130D9" w:rsidRDefault="00F05D3F" w:rsidP="00742B46">
      <w:pPr>
        <w:spacing w:after="0"/>
        <w:jc w:val="both"/>
        <w:rPr>
          <w:rFonts w:ascii="Times New Roman" w:hAnsi="Times New Roman" w:cs="Times New Roman"/>
          <w:sz w:val="24"/>
          <w:szCs w:val="24"/>
          <w:lang w:val="hr-HR"/>
        </w:rPr>
      </w:pPr>
      <w:r w:rsidRPr="00A373AF">
        <w:rPr>
          <w:rFonts w:ascii="Times New Roman" w:hAnsi="Times New Roman" w:cs="Times New Roman"/>
          <w:sz w:val="24"/>
          <w:szCs w:val="24"/>
          <w:lang w:val="hr-HR"/>
        </w:rPr>
        <w:t>Znanstvene organizacije u ulozi prijavitelja</w:t>
      </w:r>
      <w:r w:rsidRPr="000130D9">
        <w:rPr>
          <w:rFonts w:ascii="Times New Roman" w:hAnsi="Times New Roman" w:cs="Times New Roman"/>
          <w:sz w:val="24"/>
          <w:szCs w:val="24"/>
          <w:lang w:val="hr-HR"/>
        </w:rPr>
        <w:t xml:space="preserve"> </w:t>
      </w:r>
      <w:r w:rsidR="00882044">
        <w:rPr>
          <w:rFonts w:ascii="Times New Roman" w:hAnsi="Times New Roman" w:cs="Times New Roman"/>
          <w:sz w:val="24"/>
          <w:szCs w:val="24"/>
          <w:lang w:val="hr-HR"/>
        </w:rPr>
        <w:t>ili</w:t>
      </w:r>
      <w:r w:rsidRPr="000130D9">
        <w:rPr>
          <w:rFonts w:ascii="Times New Roman" w:hAnsi="Times New Roman" w:cs="Times New Roman"/>
          <w:sz w:val="24"/>
          <w:szCs w:val="24"/>
          <w:lang w:val="hr-HR"/>
        </w:rPr>
        <w:t xml:space="preserve"> partnera u okviru ovog Poziva </w:t>
      </w:r>
      <w:r w:rsidR="000F133D">
        <w:rPr>
          <w:rFonts w:ascii="Times New Roman" w:hAnsi="Times New Roman" w:cs="Times New Roman"/>
          <w:sz w:val="24"/>
          <w:szCs w:val="24"/>
          <w:lang w:val="hr-HR"/>
        </w:rPr>
        <w:t>ne primaju državnu potporu te su</w:t>
      </w:r>
      <w:r w:rsidRPr="000130D9">
        <w:rPr>
          <w:rFonts w:ascii="Times New Roman" w:hAnsi="Times New Roman" w:cs="Times New Roman"/>
          <w:sz w:val="24"/>
          <w:szCs w:val="24"/>
          <w:lang w:val="hr-HR"/>
        </w:rPr>
        <w:t xml:space="preserve"> kategorizirane kao </w:t>
      </w:r>
      <w:r w:rsidR="000F133D">
        <w:rPr>
          <w:rFonts w:ascii="Times New Roman" w:hAnsi="Times New Roman" w:cs="Times New Roman"/>
          <w:sz w:val="24"/>
          <w:szCs w:val="24"/>
          <w:lang w:val="hr-HR"/>
        </w:rPr>
        <w:t>„</w:t>
      </w:r>
      <w:r w:rsidRPr="000F133D">
        <w:rPr>
          <w:rFonts w:ascii="Times New Roman" w:hAnsi="Times New Roman" w:cs="Times New Roman"/>
          <w:i/>
          <w:sz w:val="24"/>
          <w:szCs w:val="24"/>
          <w:lang w:val="hr-HR"/>
        </w:rPr>
        <w:t>Istraživačke organizacije</w:t>
      </w:r>
      <w:r w:rsidR="000F133D">
        <w:rPr>
          <w:rFonts w:ascii="Times New Roman" w:hAnsi="Times New Roman" w:cs="Times New Roman"/>
          <w:i/>
          <w:sz w:val="24"/>
          <w:szCs w:val="24"/>
          <w:lang w:val="hr-HR"/>
        </w:rPr>
        <w:t>“</w:t>
      </w:r>
      <w:r w:rsidRPr="000130D9">
        <w:rPr>
          <w:rFonts w:ascii="Times New Roman" w:hAnsi="Times New Roman" w:cs="Times New Roman"/>
          <w:sz w:val="24"/>
          <w:szCs w:val="24"/>
          <w:lang w:val="hr-HR"/>
        </w:rPr>
        <w:t xml:space="preserve"> prema definiciji niže: </w:t>
      </w:r>
    </w:p>
    <w:p w14:paraId="1492B219" w14:textId="77777777" w:rsidR="00F05D3F" w:rsidRPr="000130D9" w:rsidRDefault="00F05D3F" w:rsidP="00742B46">
      <w:pPr>
        <w:pStyle w:val="ListParagraph"/>
        <w:spacing w:after="0"/>
        <w:contextualSpacing w:val="0"/>
        <w:jc w:val="both"/>
        <w:rPr>
          <w:rFonts w:ascii="Times New Roman" w:hAnsi="Times New Roman" w:cs="Times New Roman"/>
          <w:lang w:val="hr-HR"/>
        </w:rPr>
      </w:pPr>
    </w:p>
    <w:tbl>
      <w:tblPr>
        <w:tblStyle w:val="TableGrid"/>
        <w:tblW w:w="0" w:type="auto"/>
        <w:tblInd w:w="279" w:type="dxa"/>
        <w:shd w:val="clear" w:color="auto" w:fill="B8CCE4" w:themeFill="accent1" w:themeFillTint="66"/>
        <w:tblLook w:val="04A0" w:firstRow="1" w:lastRow="0" w:firstColumn="1" w:lastColumn="0" w:noHBand="0" w:noVBand="1"/>
      </w:tblPr>
      <w:tblGrid>
        <w:gridCol w:w="8783"/>
      </w:tblGrid>
      <w:tr w:rsidR="009D428F" w:rsidRPr="00494717" w14:paraId="2434E4E6" w14:textId="77777777" w:rsidTr="00C877E3">
        <w:tc>
          <w:tcPr>
            <w:tcW w:w="8783" w:type="dxa"/>
            <w:shd w:val="clear" w:color="auto" w:fill="B8CCE4" w:themeFill="accent1" w:themeFillTint="66"/>
          </w:tcPr>
          <w:p w14:paraId="5AC72074" w14:textId="77777777" w:rsidR="009D428F" w:rsidRPr="000130D9" w:rsidRDefault="0036074E" w:rsidP="00742B46">
            <w:pPr>
              <w:pStyle w:val="ListParagraph"/>
              <w:spacing w:before="120" w:after="120" w:line="276" w:lineRule="auto"/>
              <w:ind w:left="0"/>
              <w:contextualSpacing w:val="0"/>
              <w:jc w:val="both"/>
              <w:rPr>
                <w:rFonts w:ascii="Times New Roman" w:hAnsi="Times New Roman" w:cs="Times New Roman"/>
                <w:lang w:val="hr-HR"/>
              </w:rPr>
            </w:pPr>
            <w:r w:rsidRPr="000130D9">
              <w:rPr>
                <w:rFonts w:ascii="Times New Roman" w:hAnsi="Times New Roman" w:cs="Times New Roman"/>
                <w:b/>
                <w:i/>
                <w:lang w:val="hr-HR"/>
              </w:rPr>
              <w:t xml:space="preserve"> </w:t>
            </w:r>
            <w:r w:rsidR="008E3E66" w:rsidRPr="000130D9">
              <w:rPr>
                <w:rFonts w:ascii="Times New Roman" w:hAnsi="Times New Roman" w:cs="Times New Roman"/>
                <w:b/>
                <w:i/>
                <w:lang w:val="hr-HR"/>
              </w:rPr>
              <w:t>I</w:t>
            </w:r>
            <w:r w:rsidRPr="000130D9">
              <w:rPr>
                <w:rFonts w:ascii="Times New Roman" w:hAnsi="Times New Roman" w:cs="Times New Roman"/>
                <w:b/>
                <w:i/>
                <w:lang w:val="hr-HR"/>
              </w:rPr>
              <w:t>straživačka</w:t>
            </w:r>
            <w:r w:rsidR="008E3E66" w:rsidRPr="000130D9">
              <w:rPr>
                <w:rFonts w:ascii="Times New Roman" w:hAnsi="Times New Roman" w:cs="Times New Roman"/>
                <w:b/>
                <w:i/>
                <w:lang w:val="hr-HR"/>
              </w:rPr>
              <w:t>/znanstvena</w:t>
            </w:r>
            <w:r w:rsidRPr="000130D9">
              <w:rPr>
                <w:rFonts w:ascii="Times New Roman" w:hAnsi="Times New Roman" w:cs="Times New Roman"/>
                <w:b/>
                <w:i/>
                <w:lang w:val="hr-HR"/>
              </w:rPr>
              <w:t xml:space="preserve"> organizacija</w:t>
            </w:r>
            <w:r w:rsidR="00AB0FE0" w:rsidRPr="000130D9">
              <w:rPr>
                <w:rFonts w:ascii="Times New Roman" w:hAnsi="Times New Roman" w:cs="Times New Roman"/>
                <w:b/>
                <w:i/>
                <w:lang w:val="hr-HR"/>
              </w:rPr>
              <w:t xml:space="preserve"> </w:t>
            </w:r>
            <w:r w:rsidRPr="000130D9">
              <w:rPr>
                <w:rFonts w:ascii="Times New Roman" w:hAnsi="Times New Roman" w:cs="Times New Roman"/>
                <w:b/>
                <w:i/>
                <w:lang w:val="hr-HR"/>
              </w:rPr>
              <w:t xml:space="preserve">ili </w:t>
            </w:r>
            <w:r w:rsidR="00941920" w:rsidRPr="000130D9">
              <w:rPr>
                <w:rFonts w:ascii="Times New Roman" w:hAnsi="Times New Roman" w:cs="Times New Roman"/>
                <w:b/>
                <w:i/>
                <w:lang w:val="hr-HR"/>
              </w:rPr>
              <w:t>organizacija z</w:t>
            </w:r>
            <w:r w:rsidRPr="000130D9">
              <w:rPr>
                <w:rFonts w:ascii="Times New Roman" w:hAnsi="Times New Roman" w:cs="Times New Roman"/>
                <w:b/>
                <w:i/>
                <w:lang w:val="hr-HR"/>
              </w:rPr>
              <w:t>a istraživanje i širenje znanja</w:t>
            </w:r>
            <w:r w:rsidR="00941920" w:rsidRPr="000130D9">
              <w:rPr>
                <w:rFonts w:ascii="Times New Roman" w:hAnsi="Times New Roman" w:cs="Times New Roman"/>
                <w:lang w:val="hr-HR"/>
              </w:rPr>
              <w:t xml:space="preserve"> </w:t>
            </w:r>
            <w:r w:rsidR="00AB0FE0" w:rsidRPr="000130D9">
              <w:rPr>
                <w:rFonts w:ascii="Times New Roman" w:hAnsi="Times New Roman" w:cs="Times New Roman"/>
                <w:lang w:val="hr-HR"/>
              </w:rPr>
              <w:t>znači subjekt (kao što su sveučilišta ili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 Ako taj subjekt obavlja i ekonomske djelatnosti, financiranje, troškovi i prihodi tih ekonomskih djelatnosti moraju se obračunati zasebno. Poduzetnici koji imaju presudan utjecaj na takav subjekt, na primjer kao vlasnici udjela u njemu ili kao njegovi članovi, nemaju povlašteni pristup rezultatima koje subjekt proizvede</w:t>
            </w:r>
            <w:r w:rsidR="00BF2718" w:rsidRPr="000130D9">
              <w:rPr>
                <w:rFonts w:ascii="Times New Roman" w:hAnsi="Times New Roman" w:cs="Times New Roman"/>
                <w:lang w:val="hr-HR"/>
              </w:rPr>
              <w:t>.</w:t>
            </w:r>
            <w:r w:rsidR="00AB0FE0" w:rsidRPr="000130D9">
              <w:rPr>
                <w:rFonts w:ascii="Times New Roman" w:hAnsi="Times New Roman" w:cs="Times New Roman"/>
                <w:lang w:val="hr-HR"/>
              </w:rPr>
              <w:t xml:space="preserve"> </w:t>
            </w:r>
            <w:r w:rsidR="009D428F" w:rsidRPr="000130D9">
              <w:rPr>
                <w:rFonts w:ascii="Times New Roman" w:hAnsi="Times New Roman" w:cs="Times New Roman"/>
                <w:lang w:val="hr-HR"/>
              </w:rPr>
              <w:t>(</w:t>
            </w:r>
            <w:r w:rsidR="00BF2718" w:rsidRPr="000130D9">
              <w:rPr>
                <w:rFonts w:ascii="Times New Roman" w:hAnsi="Times New Roman" w:cs="Times New Roman"/>
                <w:lang w:val="hr-HR"/>
              </w:rPr>
              <w:t>V</w:t>
            </w:r>
            <w:r w:rsidR="00941920" w:rsidRPr="000130D9">
              <w:rPr>
                <w:rFonts w:ascii="Times New Roman" w:hAnsi="Times New Roman" w:cs="Times New Roman"/>
                <w:lang w:val="hr-HR"/>
              </w:rPr>
              <w:t>idi poglavlje</w:t>
            </w:r>
            <w:r w:rsidR="009D428F" w:rsidRPr="000130D9">
              <w:rPr>
                <w:rFonts w:ascii="Times New Roman" w:hAnsi="Times New Roman" w:cs="Times New Roman"/>
                <w:lang w:val="hr-HR"/>
              </w:rPr>
              <w:t xml:space="preserve"> 1.3 </w:t>
            </w:r>
            <w:r w:rsidR="00941920" w:rsidRPr="000130D9">
              <w:rPr>
                <w:rFonts w:ascii="Times New Roman" w:hAnsi="Times New Roman" w:cs="Times New Roman"/>
                <w:lang w:val="hr-HR"/>
              </w:rPr>
              <w:t>Okvira Zajednice</w:t>
            </w:r>
            <w:r w:rsidR="009D428F" w:rsidRPr="000130D9">
              <w:rPr>
                <w:rFonts w:ascii="Times New Roman" w:hAnsi="Times New Roman" w:cs="Times New Roman"/>
                <w:lang w:val="hr-HR"/>
              </w:rPr>
              <w:t>).</w:t>
            </w:r>
          </w:p>
        </w:tc>
      </w:tr>
    </w:tbl>
    <w:p w14:paraId="1C3E0E78" w14:textId="77777777" w:rsidR="00F05D3F" w:rsidRPr="000130D9" w:rsidRDefault="00F05D3F" w:rsidP="00742B46">
      <w:pPr>
        <w:pStyle w:val="ListParagraph"/>
        <w:spacing w:after="0"/>
        <w:ind w:left="0"/>
        <w:contextualSpacing w:val="0"/>
        <w:jc w:val="both"/>
        <w:rPr>
          <w:rFonts w:ascii="Times New Roman" w:hAnsi="Times New Roman" w:cs="Times New Roman"/>
          <w:lang w:val="hr-HR"/>
        </w:rPr>
      </w:pPr>
    </w:p>
    <w:p w14:paraId="0DA20088" w14:textId="77777777" w:rsidR="00F05D3F" w:rsidRPr="000130D9" w:rsidRDefault="00F05D3F" w:rsidP="00742B46">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Sredstva koja su dodijeljena za djelatnosti koje su neekonomskog karaktera, ne smatraju se državnim potporama.</w:t>
      </w:r>
    </w:p>
    <w:p w14:paraId="1AFB0A65" w14:textId="77777777" w:rsidR="00F05D3F" w:rsidRPr="00017BA8" w:rsidRDefault="00F05D3F" w:rsidP="00742B46">
      <w:pPr>
        <w:pStyle w:val="ListParagraph"/>
        <w:spacing w:after="0"/>
        <w:ind w:left="0"/>
        <w:contextualSpacing w:val="0"/>
        <w:jc w:val="both"/>
        <w:rPr>
          <w:rFonts w:ascii="Times New Roman" w:hAnsi="Times New Roman" w:cs="Times New Roman"/>
          <w:sz w:val="16"/>
          <w:szCs w:val="24"/>
          <w:lang w:val="hr-HR"/>
        </w:rPr>
      </w:pPr>
    </w:p>
    <w:p w14:paraId="2BCA85E1" w14:textId="05233446" w:rsidR="00D8060D" w:rsidRDefault="008721AA" w:rsidP="00742B46">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Sredstva dodijeljena temeljem ovog </w:t>
      </w:r>
      <w:r w:rsidRPr="009D1A20">
        <w:rPr>
          <w:rFonts w:ascii="Times New Roman" w:hAnsi="Times New Roman" w:cs="Times New Roman"/>
          <w:sz w:val="24"/>
          <w:szCs w:val="24"/>
          <w:lang w:val="hr-HR"/>
        </w:rPr>
        <w:t>Poziva</w:t>
      </w:r>
      <w:r w:rsidR="00DE630E" w:rsidRPr="009D1A20">
        <w:rPr>
          <w:rFonts w:ascii="Times New Roman" w:hAnsi="Times New Roman" w:cs="Times New Roman"/>
          <w:sz w:val="24"/>
          <w:szCs w:val="24"/>
          <w:lang w:val="hr-HR"/>
        </w:rPr>
        <w:t xml:space="preserve"> za</w:t>
      </w:r>
      <w:r w:rsidRPr="009D1A20">
        <w:rPr>
          <w:rFonts w:ascii="Times New Roman" w:hAnsi="Times New Roman" w:cs="Times New Roman"/>
          <w:sz w:val="24"/>
          <w:szCs w:val="24"/>
          <w:lang w:val="hr-HR"/>
        </w:rPr>
        <w:t xml:space="preserve"> </w:t>
      </w:r>
      <w:r w:rsidR="009D1A20" w:rsidRPr="009D1A20">
        <w:rPr>
          <w:rFonts w:ascii="Times New Roman" w:hAnsi="Times New Roman" w:cs="Times New Roman"/>
          <w:sz w:val="24"/>
          <w:szCs w:val="24"/>
          <w:lang w:val="hr-HR"/>
        </w:rPr>
        <w:t>istraživačke</w:t>
      </w:r>
      <w:r w:rsidR="00B9178E" w:rsidRPr="009D1A20">
        <w:rPr>
          <w:rFonts w:ascii="Times New Roman" w:hAnsi="Times New Roman" w:cs="Times New Roman"/>
          <w:sz w:val="24"/>
          <w:szCs w:val="24"/>
          <w:lang w:val="hr-HR"/>
        </w:rPr>
        <w:t xml:space="preserve"> organizacije </w:t>
      </w:r>
      <w:r w:rsidR="00DE630E" w:rsidRPr="009D1A20">
        <w:rPr>
          <w:rFonts w:ascii="Times New Roman" w:hAnsi="Times New Roman" w:cs="Times New Roman"/>
          <w:sz w:val="24"/>
          <w:szCs w:val="24"/>
          <w:lang w:val="hr-HR"/>
        </w:rPr>
        <w:t>u</w:t>
      </w:r>
      <w:r w:rsidR="00DE630E" w:rsidRPr="000130D9">
        <w:rPr>
          <w:rFonts w:ascii="Times New Roman" w:hAnsi="Times New Roman" w:cs="Times New Roman"/>
          <w:sz w:val="24"/>
          <w:szCs w:val="24"/>
          <w:lang w:val="hr-HR"/>
        </w:rPr>
        <w:t xml:space="preserve"> ulozi prijavitelja </w:t>
      </w:r>
      <w:r w:rsidR="00E80FFD">
        <w:rPr>
          <w:rFonts w:ascii="Times New Roman" w:hAnsi="Times New Roman" w:cs="Times New Roman"/>
          <w:sz w:val="24"/>
          <w:szCs w:val="24"/>
          <w:lang w:val="hr-HR"/>
        </w:rPr>
        <w:t>ili</w:t>
      </w:r>
      <w:r w:rsidR="00DE630E" w:rsidRPr="000130D9">
        <w:rPr>
          <w:rFonts w:ascii="Times New Roman" w:hAnsi="Times New Roman" w:cs="Times New Roman"/>
          <w:sz w:val="24"/>
          <w:szCs w:val="24"/>
          <w:lang w:val="hr-HR"/>
        </w:rPr>
        <w:t xml:space="preserve"> </w:t>
      </w:r>
      <w:r w:rsidR="004174CA" w:rsidRPr="000130D9">
        <w:rPr>
          <w:rFonts w:ascii="Times New Roman" w:hAnsi="Times New Roman" w:cs="Times New Roman"/>
          <w:sz w:val="24"/>
          <w:szCs w:val="24"/>
          <w:lang w:val="hr-HR"/>
        </w:rPr>
        <w:t>partnera</w:t>
      </w:r>
      <w:r w:rsidR="00484F46" w:rsidRPr="000130D9">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 xml:space="preserve">ne smiju koristiti za ekonomske djelatnosti i to su dužni navesti </w:t>
      </w:r>
      <w:r w:rsidR="00110E07" w:rsidRPr="000130D9">
        <w:rPr>
          <w:rFonts w:ascii="Times New Roman" w:hAnsi="Times New Roman" w:cs="Times New Roman"/>
          <w:sz w:val="24"/>
          <w:szCs w:val="24"/>
          <w:lang w:val="hr-HR"/>
        </w:rPr>
        <w:t>u I</w:t>
      </w:r>
      <w:r w:rsidRPr="000130D9">
        <w:rPr>
          <w:rFonts w:ascii="Times New Roman" w:hAnsi="Times New Roman" w:cs="Times New Roman"/>
          <w:sz w:val="24"/>
          <w:szCs w:val="24"/>
          <w:lang w:val="hr-HR"/>
        </w:rPr>
        <w:t>zjavi</w:t>
      </w:r>
      <w:r w:rsidR="00110E07" w:rsidRPr="000130D9">
        <w:rPr>
          <w:rFonts w:ascii="Times New Roman" w:hAnsi="Times New Roman" w:cs="Times New Roman"/>
          <w:sz w:val="24"/>
          <w:szCs w:val="24"/>
          <w:lang w:val="hr-HR"/>
        </w:rPr>
        <w:t xml:space="preserve"> </w:t>
      </w:r>
      <w:r w:rsidR="00CB1F54" w:rsidRPr="000130D9">
        <w:rPr>
          <w:rFonts w:ascii="Times New Roman" w:hAnsi="Times New Roman" w:cs="Times New Roman"/>
          <w:sz w:val="24"/>
          <w:szCs w:val="24"/>
          <w:lang w:val="hr-HR"/>
        </w:rPr>
        <w:t>prijavitelja</w:t>
      </w:r>
      <w:r w:rsidR="00D721BC" w:rsidRPr="000130D9">
        <w:rPr>
          <w:rFonts w:ascii="Times New Roman" w:hAnsi="Times New Roman" w:cs="Times New Roman"/>
          <w:sz w:val="24"/>
          <w:szCs w:val="24"/>
          <w:lang w:val="hr-HR"/>
        </w:rPr>
        <w:t xml:space="preserve"> </w:t>
      </w:r>
      <w:r w:rsidR="00110E07" w:rsidRPr="000130D9">
        <w:rPr>
          <w:rFonts w:ascii="Times New Roman" w:hAnsi="Times New Roman" w:cs="Times New Roman"/>
          <w:sz w:val="24"/>
          <w:szCs w:val="24"/>
          <w:lang w:val="hr-HR"/>
        </w:rPr>
        <w:t xml:space="preserve">(Obrazac </w:t>
      </w:r>
      <w:r w:rsidR="00FB2D13">
        <w:rPr>
          <w:rFonts w:ascii="Times New Roman" w:hAnsi="Times New Roman" w:cs="Times New Roman"/>
          <w:sz w:val="24"/>
          <w:szCs w:val="24"/>
          <w:lang w:val="hr-HR"/>
        </w:rPr>
        <w:t>3</w:t>
      </w:r>
      <w:r w:rsidR="00110E07" w:rsidRPr="000130D9">
        <w:rPr>
          <w:rFonts w:ascii="Times New Roman" w:hAnsi="Times New Roman" w:cs="Times New Roman"/>
          <w:sz w:val="24"/>
          <w:szCs w:val="24"/>
          <w:lang w:val="hr-HR"/>
        </w:rPr>
        <w:t>.)</w:t>
      </w:r>
      <w:r w:rsidR="00AF4C59" w:rsidRPr="000130D9">
        <w:rPr>
          <w:rFonts w:ascii="Times New Roman" w:hAnsi="Times New Roman" w:cs="Times New Roman"/>
          <w:sz w:val="24"/>
          <w:szCs w:val="24"/>
          <w:lang w:val="hr-HR"/>
        </w:rPr>
        <w:t xml:space="preserve">, odnosno Izjavi partnera (Obrazac </w:t>
      </w:r>
      <w:r w:rsidR="00FB2D13">
        <w:rPr>
          <w:rFonts w:ascii="Times New Roman" w:hAnsi="Times New Roman" w:cs="Times New Roman"/>
          <w:sz w:val="24"/>
          <w:szCs w:val="24"/>
          <w:lang w:val="hr-HR"/>
        </w:rPr>
        <w:t>4</w:t>
      </w:r>
      <w:r w:rsidR="00AF4C59" w:rsidRPr="000130D9">
        <w:rPr>
          <w:rFonts w:ascii="Times New Roman" w:hAnsi="Times New Roman" w:cs="Times New Roman"/>
          <w:sz w:val="24"/>
          <w:szCs w:val="24"/>
          <w:lang w:val="hr-HR"/>
        </w:rPr>
        <w:t>)</w:t>
      </w:r>
      <w:r w:rsidRPr="000130D9">
        <w:rPr>
          <w:rFonts w:ascii="Times New Roman" w:hAnsi="Times New Roman" w:cs="Times New Roman"/>
          <w:sz w:val="24"/>
          <w:szCs w:val="24"/>
          <w:lang w:val="hr-HR"/>
        </w:rPr>
        <w:t xml:space="preserve">. </w:t>
      </w:r>
      <w:r w:rsidR="00AD28D4" w:rsidRPr="000130D9">
        <w:rPr>
          <w:rFonts w:ascii="Times New Roman" w:hAnsi="Times New Roman" w:cs="Times New Roman"/>
          <w:sz w:val="24"/>
          <w:szCs w:val="24"/>
          <w:lang w:val="hr-HR"/>
        </w:rPr>
        <w:t xml:space="preserve"> </w:t>
      </w:r>
      <w:r w:rsidR="00224C9F" w:rsidRPr="000130D9">
        <w:rPr>
          <w:rFonts w:ascii="Times New Roman" w:hAnsi="Times New Roman" w:cs="Times New Roman"/>
          <w:sz w:val="24"/>
          <w:szCs w:val="24"/>
          <w:lang w:val="hr-HR"/>
        </w:rPr>
        <w:t>P</w:t>
      </w:r>
      <w:r w:rsidR="00484F46" w:rsidRPr="000130D9">
        <w:rPr>
          <w:rFonts w:ascii="Times New Roman" w:hAnsi="Times New Roman" w:cs="Times New Roman"/>
          <w:sz w:val="24"/>
          <w:szCs w:val="24"/>
          <w:lang w:val="hr-HR"/>
        </w:rPr>
        <w:t>osljedično</w:t>
      </w:r>
      <w:r w:rsidR="00030E89" w:rsidRPr="000130D9">
        <w:rPr>
          <w:rFonts w:ascii="Times New Roman" w:hAnsi="Times New Roman" w:cs="Times New Roman"/>
          <w:sz w:val="24"/>
          <w:szCs w:val="24"/>
          <w:lang w:val="hr-HR"/>
        </w:rPr>
        <w:t>,</w:t>
      </w:r>
      <w:r w:rsidR="00484F46" w:rsidRPr="000130D9">
        <w:rPr>
          <w:rFonts w:ascii="Times New Roman" w:hAnsi="Times New Roman" w:cs="Times New Roman"/>
          <w:sz w:val="24"/>
          <w:szCs w:val="24"/>
          <w:lang w:val="hr-HR"/>
        </w:rPr>
        <w:t xml:space="preserve"> to </w:t>
      </w:r>
      <w:r w:rsidR="00030E89" w:rsidRPr="000130D9">
        <w:rPr>
          <w:rFonts w:ascii="Times New Roman" w:hAnsi="Times New Roman" w:cs="Times New Roman"/>
          <w:sz w:val="24"/>
          <w:szCs w:val="24"/>
          <w:lang w:val="hr-HR"/>
        </w:rPr>
        <w:t xml:space="preserve">znači da ta sredstva ne predstavljaju </w:t>
      </w:r>
      <w:r w:rsidR="00BF2718" w:rsidRPr="000130D9">
        <w:rPr>
          <w:rFonts w:ascii="Times New Roman" w:hAnsi="Times New Roman" w:cs="Times New Roman"/>
          <w:sz w:val="24"/>
          <w:szCs w:val="24"/>
          <w:lang w:val="hr-HR"/>
        </w:rPr>
        <w:t>državnu potporu</w:t>
      </w:r>
      <w:r w:rsidR="00030E89" w:rsidRPr="000130D9">
        <w:rPr>
          <w:rFonts w:ascii="Times New Roman" w:hAnsi="Times New Roman" w:cs="Times New Roman"/>
          <w:sz w:val="24"/>
          <w:szCs w:val="24"/>
          <w:lang w:val="hr-HR"/>
        </w:rPr>
        <w:t>.</w:t>
      </w:r>
      <w:r w:rsidR="00484F46" w:rsidRPr="000130D9">
        <w:rPr>
          <w:rFonts w:ascii="Times New Roman" w:hAnsi="Times New Roman" w:cs="Times New Roman"/>
          <w:sz w:val="24"/>
          <w:szCs w:val="24"/>
          <w:lang w:val="hr-HR"/>
        </w:rPr>
        <w:t xml:space="preserve"> </w:t>
      </w:r>
    </w:p>
    <w:p w14:paraId="468CB4AC" w14:textId="77777777" w:rsidR="00DE630E" w:rsidRPr="000F133D" w:rsidRDefault="00DE630E" w:rsidP="00742B46">
      <w:pPr>
        <w:spacing w:after="0"/>
        <w:jc w:val="both"/>
        <w:rPr>
          <w:rFonts w:ascii="Times New Roman" w:hAnsi="Times New Roman" w:cs="Times New Roman"/>
          <w:sz w:val="24"/>
          <w:szCs w:val="24"/>
          <w:lang w:val="hr-HR"/>
        </w:rPr>
      </w:pPr>
    </w:p>
    <w:p w14:paraId="1EFC0599" w14:textId="5CB956E2" w:rsidR="00841612" w:rsidRPr="000130D9" w:rsidRDefault="00841612" w:rsidP="00742B46">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Prema Okviru Zajednic</w:t>
      </w:r>
      <w:r w:rsidR="00F33D66" w:rsidRPr="000130D9">
        <w:rPr>
          <w:rFonts w:ascii="Times New Roman" w:hAnsi="Times New Roman" w:cs="Times New Roman"/>
          <w:sz w:val="24"/>
          <w:szCs w:val="24"/>
          <w:lang w:val="hr-HR"/>
        </w:rPr>
        <w:t>e</w:t>
      </w:r>
      <w:r w:rsidRPr="000130D9">
        <w:rPr>
          <w:rFonts w:ascii="Times New Roman" w:hAnsi="Times New Roman" w:cs="Times New Roman"/>
          <w:sz w:val="24"/>
          <w:szCs w:val="24"/>
          <w:lang w:val="hr-HR"/>
        </w:rPr>
        <w:t xml:space="preserve">, Komisija smatra da su </w:t>
      </w:r>
      <w:r w:rsidR="009D1A20">
        <w:rPr>
          <w:rFonts w:ascii="Times New Roman" w:hAnsi="Times New Roman" w:cs="Times New Roman"/>
          <w:sz w:val="24"/>
          <w:szCs w:val="24"/>
          <w:lang w:val="hr-HR"/>
        </w:rPr>
        <w:t>sljedeće djelatnosti istraživačkih organizacija</w:t>
      </w:r>
      <w:r w:rsidR="00C15DFC" w:rsidRPr="000130D9">
        <w:rPr>
          <w:rFonts w:ascii="Times New Roman" w:hAnsi="Times New Roman" w:cs="Times New Roman"/>
          <w:sz w:val="24"/>
          <w:szCs w:val="24"/>
          <w:lang w:val="hr-HR"/>
        </w:rPr>
        <w:t xml:space="preserve"> </w:t>
      </w:r>
      <w:r w:rsidR="00DE630E" w:rsidRPr="000130D9">
        <w:rPr>
          <w:rFonts w:ascii="Times New Roman" w:hAnsi="Times New Roman" w:cs="Times New Roman"/>
          <w:sz w:val="24"/>
          <w:szCs w:val="24"/>
          <w:lang w:val="hr-HR"/>
        </w:rPr>
        <w:t xml:space="preserve">općenito neekonomske: </w:t>
      </w:r>
      <w:r w:rsidRPr="000130D9">
        <w:rPr>
          <w:rFonts w:ascii="Times New Roman" w:hAnsi="Times New Roman" w:cs="Times New Roman"/>
          <w:sz w:val="24"/>
          <w:szCs w:val="24"/>
          <w:lang w:val="hr-HR"/>
        </w:rPr>
        <w:t xml:space="preserve"> </w:t>
      </w:r>
    </w:p>
    <w:p w14:paraId="456F93A0" w14:textId="77777777" w:rsidR="005A1FEB" w:rsidRDefault="005A1FEB" w:rsidP="00742B46">
      <w:pPr>
        <w:pStyle w:val="ListParagraph"/>
        <w:spacing w:after="0"/>
        <w:ind w:left="714"/>
        <w:contextualSpacing w:val="0"/>
        <w:jc w:val="both"/>
        <w:rPr>
          <w:rFonts w:ascii="Times New Roman" w:hAnsi="Times New Roman" w:cs="Times New Roman"/>
          <w:lang w:val="hr-HR"/>
        </w:rPr>
      </w:pPr>
    </w:p>
    <w:p w14:paraId="5E7EF4BF" w14:textId="77777777" w:rsidR="00361FA9" w:rsidRPr="00742B46" w:rsidRDefault="00361FA9" w:rsidP="00742B46">
      <w:pPr>
        <w:spacing w:after="0"/>
        <w:jc w:val="both"/>
        <w:rPr>
          <w:rFonts w:ascii="Times New Roman" w:hAnsi="Times New Roman" w:cs="Times New Roman"/>
          <w:lang w:val="hr-HR"/>
        </w:rPr>
      </w:pPr>
    </w:p>
    <w:p w14:paraId="478033DB" w14:textId="77777777" w:rsidR="00361FA9" w:rsidRDefault="00361FA9" w:rsidP="00742B46">
      <w:pPr>
        <w:pStyle w:val="ListParagraph"/>
        <w:spacing w:after="0"/>
        <w:ind w:left="714"/>
        <w:contextualSpacing w:val="0"/>
        <w:jc w:val="both"/>
        <w:rPr>
          <w:rFonts w:ascii="Times New Roman" w:hAnsi="Times New Roman" w:cs="Times New Roman"/>
          <w:lang w:val="hr-HR"/>
        </w:rPr>
      </w:pPr>
    </w:p>
    <w:p w14:paraId="1C5224B0" w14:textId="77777777" w:rsidR="00361FA9" w:rsidRDefault="00361FA9" w:rsidP="00742B46">
      <w:pPr>
        <w:pStyle w:val="ListParagraph"/>
        <w:spacing w:after="0"/>
        <w:ind w:left="714"/>
        <w:contextualSpacing w:val="0"/>
        <w:jc w:val="both"/>
        <w:rPr>
          <w:rFonts w:ascii="Times New Roman" w:hAnsi="Times New Roman" w:cs="Times New Roman"/>
          <w:lang w:val="hr-HR"/>
        </w:rPr>
      </w:pPr>
    </w:p>
    <w:p w14:paraId="16563C65" w14:textId="77777777" w:rsidR="00361FA9" w:rsidRPr="000130D9" w:rsidRDefault="00361FA9" w:rsidP="00742B46">
      <w:pPr>
        <w:pStyle w:val="ListParagraph"/>
        <w:spacing w:after="0"/>
        <w:ind w:left="714"/>
        <w:contextualSpacing w:val="0"/>
        <w:jc w:val="both"/>
        <w:rPr>
          <w:rFonts w:ascii="Times New Roman" w:hAnsi="Times New Roman" w:cs="Times New Roman"/>
          <w:lang w:val="hr-HR"/>
        </w:rPr>
      </w:pPr>
    </w:p>
    <w:tbl>
      <w:tblPr>
        <w:tblStyle w:val="TableGrid"/>
        <w:tblW w:w="0" w:type="auto"/>
        <w:tblInd w:w="279" w:type="dxa"/>
        <w:shd w:val="clear" w:color="auto" w:fill="B8CCE4" w:themeFill="accent1" w:themeFillTint="66"/>
        <w:tblLook w:val="04A0" w:firstRow="1" w:lastRow="0" w:firstColumn="1" w:lastColumn="0" w:noHBand="0" w:noVBand="1"/>
      </w:tblPr>
      <w:tblGrid>
        <w:gridCol w:w="8783"/>
      </w:tblGrid>
      <w:tr w:rsidR="00841612" w:rsidRPr="00494717" w14:paraId="2309A633" w14:textId="77777777" w:rsidTr="00C877E3">
        <w:tc>
          <w:tcPr>
            <w:tcW w:w="8783" w:type="dxa"/>
            <w:shd w:val="clear" w:color="auto" w:fill="B8CCE4" w:themeFill="accent1" w:themeFillTint="66"/>
          </w:tcPr>
          <w:p w14:paraId="647F412E" w14:textId="77777777" w:rsidR="00841612" w:rsidRPr="000130D9" w:rsidRDefault="00841612" w:rsidP="00742B46">
            <w:pPr>
              <w:pStyle w:val="ListParagraph"/>
              <w:numPr>
                <w:ilvl w:val="0"/>
                <w:numId w:val="23"/>
              </w:numPr>
              <w:spacing w:line="276" w:lineRule="auto"/>
              <w:ind w:left="459" w:right="170" w:hanging="284"/>
              <w:jc w:val="both"/>
              <w:rPr>
                <w:rFonts w:ascii="Times New Roman" w:hAnsi="Times New Roman" w:cs="Times New Roman"/>
                <w:b/>
                <w:lang w:val="hr-HR"/>
              </w:rPr>
            </w:pPr>
            <w:r w:rsidRPr="000130D9">
              <w:rPr>
                <w:rFonts w:ascii="Times New Roman" w:hAnsi="Times New Roman" w:cs="Times New Roman"/>
                <w:b/>
                <w:lang w:val="hr-HR"/>
              </w:rPr>
              <w:t>Primarne djelatnosti istraživačkih organizacija:</w:t>
            </w:r>
          </w:p>
          <w:p w14:paraId="00F47CAC" w14:textId="77777777" w:rsidR="00841612" w:rsidRPr="000130D9" w:rsidRDefault="00841612" w:rsidP="00742B46">
            <w:pPr>
              <w:pStyle w:val="ListParagraph"/>
              <w:numPr>
                <w:ilvl w:val="0"/>
                <w:numId w:val="15"/>
              </w:numPr>
              <w:spacing w:line="276" w:lineRule="auto"/>
              <w:ind w:left="459" w:right="170" w:hanging="284"/>
              <w:jc w:val="both"/>
              <w:rPr>
                <w:rFonts w:ascii="Times New Roman" w:hAnsi="Times New Roman" w:cs="Times New Roman"/>
                <w:lang w:val="hr-HR"/>
              </w:rPr>
            </w:pPr>
            <w:r w:rsidRPr="000130D9">
              <w:rPr>
                <w:rFonts w:ascii="Times New Roman" w:hAnsi="Times New Roman" w:cs="Times New Roman"/>
                <w:lang w:val="hr-HR"/>
              </w:rPr>
              <w:t>edukacija u svrhu većeg broja kvalificiranijih ljudskih resursa. Javno obrazovanje organizirano u okviru nacionalnog obrazovnog sustava, koje uglavnom ili u potpunosti financira država i pod nadzorom je države, smatra se neekonomskom</w:t>
            </w:r>
            <w:r w:rsidR="001162C6" w:rsidRPr="000130D9">
              <w:rPr>
                <w:rFonts w:ascii="Times New Roman" w:hAnsi="Times New Roman" w:cs="Times New Roman"/>
                <w:lang w:val="hr-HR"/>
              </w:rPr>
              <w:t xml:space="preserve"> djelatnošću</w:t>
            </w:r>
            <w:r w:rsidRPr="000130D9">
              <w:rPr>
                <w:rFonts w:ascii="Times New Roman" w:hAnsi="Times New Roman" w:cs="Times New Roman"/>
                <w:lang w:val="hr-HR"/>
              </w:rPr>
              <w:t>;</w:t>
            </w:r>
            <w:r w:rsidRPr="000130D9">
              <w:rPr>
                <w:rStyle w:val="FootnoteReference"/>
                <w:rFonts w:ascii="Times New Roman" w:hAnsi="Times New Roman" w:cs="Times New Roman"/>
                <w:lang w:val="hr-HR"/>
              </w:rPr>
              <w:footnoteReference w:id="7"/>
            </w:r>
          </w:p>
          <w:p w14:paraId="3E5F88BC" w14:textId="77777777" w:rsidR="00841612" w:rsidRPr="000130D9" w:rsidRDefault="00841612" w:rsidP="00742B46">
            <w:pPr>
              <w:pStyle w:val="ListParagraph"/>
              <w:numPr>
                <w:ilvl w:val="0"/>
                <w:numId w:val="15"/>
              </w:numPr>
              <w:spacing w:line="276" w:lineRule="auto"/>
              <w:ind w:left="459" w:right="170" w:hanging="284"/>
              <w:jc w:val="both"/>
              <w:rPr>
                <w:rFonts w:ascii="Times New Roman" w:hAnsi="Times New Roman" w:cs="Times New Roman"/>
                <w:lang w:val="hr-HR"/>
              </w:rPr>
            </w:pPr>
            <w:r w:rsidRPr="000130D9">
              <w:rPr>
                <w:rFonts w:ascii="Times New Roman" w:hAnsi="Times New Roman" w:cs="Times New Roman"/>
                <w:lang w:val="hr-HR"/>
              </w:rPr>
              <w:t>neovisno istraživanje i razvoj za više znanja i bolje razumijevanje, uključujući kolaborativni I&amp;R pri kojem istraživačke organizacije učinkovito surađuju;</w:t>
            </w:r>
          </w:p>
          <w:p w14:paraId="720D5B41" w14:textId="77777777" w:rsidR="00841612" w:rsidRPr="000130D9" w:rsidRDefault="00841612" w:rsidP="00742B46">
            <w:pPr>
              <w:pStyle w:val="ListParagraph"/>
              <w:numPr>
                <w:ilvl w:val="0"/>
                <w:numId w:val="15"/>
              </w:numPr>
              <w:spacing w:line="276" w:lineRule="auto"/>
              <w:ind w:left="459" w:right="170" w:hanging="284"/>
              <w:jc w:val="both"/>
              <w:rPr>
                <w:rFonts w:ascii="Times New Roman" w:hAnsi="Times New Roman" w:cs="Times New Roman"/>
                <w:lang w:val="hr-HR"/>
              </w:rPr>
            </w:pPr>
            <w:r w:rsidRPr="000130D9">
              <w:rPr>
                <w:rFonts w:ascii="Times New Roman" w:hAnsi="Times New Roman" w:cs="Times New Roman"/>
                <w:lang w:val="hr-HR"/>
              </w:rPr>
              <w:t>neisključivo i nediskriminacijsko širenje rezultata istraživanja, primjerice podučavanjem, bazama podataka s otvorenim pristupom, otvorenim publikacijama ili računalnim programima s otvorenim kodom.</w:t>
            </w:r>
          </w:p>
          <w:p w14:paraId="0572B272" w14:textId="77777777" w:rsidR="00841612" w:rsidRPr="000F133D" w:rsidRDefault="00841612" w:rsidP="00742B46">
            <w:pPr>
              <w:ind w:right="170"/>
              <w:jc w:val="both"/>
              <w:rPr>
                <w:rFonts w:ascii="Times New Roman" w:hAnsi="Times New Roman" w:cs="Times New Roman"/>
                <w:lang w:val="hr-HR"/>
              </w:rPr>
            </w:pPr>
          </w:p>
          <w:p w14:paraId="1C346D33" w14:textId="77777777" w:rsidR="00841612" w:rsidRPr="000130D9" w:rsidRDefault="00841612" w:rsidP="00742B46">
            <w:pPr>
              <w:pStyle w:val="ListParagraph"/>
              <w:numPr>
                <w:ilvl w:val="0"/>
                <w:numId w:val="23"/>
              </w:numPr>
              <w:spacing w:line="276" w:lineRule="auto"/>
              <w:ind w:left="459" w:right="170" w:hanging="284"/>
              <w:jc w:val="both"/>
              <w:rPr>
                <w:rFonts w:ascii="Times New Roman" w:hAnsi="Times New Roman" w:cs="Times New Roman"/>
                <w:lang w:val="hr-HR"/>
              </w:rPr>
            </w:pPr>
            <w:r w:rsidRPr="000130D9">
              <w:rPr>
                <w:rFonts w:ascii="Times New Roman" w:hAnsi="Times New Roman" w:cs="Times New Roman"/>
                <w:b/>
                <w:lang w:val="hr-HR"/>
              </w:rPr>
              <w:t>Aktivnosti prijenosa znanja</w:t>
            </w:r>
            <w:r w:rsidRPr="000130D9">
              <w:rPr>
                <w:rStyle w:val="FootnoteReference"/>
                <w:rFonts w:ascii="Times New Roman" w:hAnsi="Times New Roman" w:cs="Times New Roman"/>
                <w:lang w:val="hr-HR"/>
              </w:rPr>
              <w:footnoteReference w:id="8"/>
            </w:r>
            <w:r w:rsidRPr="000130D9">
              <w:rPr>
                <w:rFonts w:ascii="Times New Roman" w:hAnsi="Times New Roman" w:cs="Times New Roman"/>
                <w:lang w:val="hr-HR"/>
              </w:rPr>
              <w:t xml:space="preserve">, ako ih izvršava istraživačka organizacija (uključujući njihove odjele ili podružnice) ili se izvršavaju zajedno s takvim tijelima ili u ime drugih takvih subjekata, pri čemu se sav prihod od takvih djelatnosti/aktivnosti ponovno ulaže u primarne djelatnosti/aktivnosti istraživačke organizacije. </w:t>
            </w:r>
          </w:p>
          <w:p w14:paraId="224DF055" w14:textId="77777777" w:rsidR="0017716D" w:rsidRPr="000130D9" w:rsidRDefault="0017716D" w:rsidP="00742B46">
            <w:pPr>
              <w:pStyle w:val="ListParagraph"/>
              <w:spacing w:line="276" w:lineRule="auto"/>
              <w:jc w:val="both"/>
              <w:rPr>
                <w:rFonts w:ascii="Times New Roman" w:hAnsi="Times New Roman" w:cs="Times New Roman"/>
                <w:lang w:val="hr-HR"/>
              </w:rPr>
            </w:pPr>
          </w:p>
        </w:tc>
      </w:tr>
    </w:tbl>
    <w:p w14:paraId="4439CAA5" w14:textId="77777777" w:rsidR="00DE4123" w:rsidRPr="000130D9" w:rsidRDefault="00DE4123" w:rsidP="00742B46">
      <w:pPr>
        <w:spacing w:after="0"/>
        <w:jc w:val="both"/>
        <w:rPr>
          <w:rFonts w:ascii="Times New Roman" w:hAnsi="Times New Roman" w:cs="Times New Roman"/>
          <w:lang w:val="hr-HR"/>
        </w:rPr>
      </w:pPr>
    </w:p>
    <w:p w14:paraId="7AE5E531" w14:textId="42D5CE7B" w:rsidR="00D43BF9" w:rsidRDefault="00D43BF9" w:rsidP="00742B46">
      <w:pPr>
        <w:spacing w:after="0"/>
        <w:jc w:val="both"/>
        <w:rPr>
          <w:rFonts w:ascii="Times New Roman" w:hAnsi="Times New Roman" w:cs="Times New Roman"/>
          <w:lang w:val="hr-HR"/>
        </w:rPr>
      </w:pPr>
      <w:r w:rsidRPr="000130D9">
        <w:rPr>
          <w:rFonts w:ascii="Times New Roman" w:hAnsi="Times New Roman" w:cs="Times New Roman"/>
          <w:lang w:val="hr-HR"/>
        </w:rPr>
        <w:t>Izuzetkom se smatra:</w:t>
      </w:r>
    </w:p>
    <w:p w14:paraId="1F5F2318" w14:textId="77777777" w:rsidR="000F133D" w:rsidRPr="000F133D" w:rsidRDefault="000F133D" w:rsidP="00742B46">
      <w:pPr>
        <w:spacing w:after="0"/>
        <w:jc w:val="both"/>
        <w:rPr>
          <w:rFonts w:ascii="Times New Roman" w:hAnsi="Times New Roman" w:cs="Times New Roman"/>
          <w:lang w:val="hr-HR"/>
        </w:rPr>
      </w:pPr>
    </w:p>
    <w:tbl>
      <w:tblPr>
        <w:tblStyle w:val="TableGrid"/>
        <w:tblW w:w="0" w:type="auto"/>
        <w:tblInd w:w="279" w:type="dxa"/>
        <w:shd w:val="clear" w:color="auto" w:fill="B8CCE4" w:themeFill="accent1" w:themeFillTint="66"/>
        <w:tblLook w:val="04A0" w:firstRow="1" w:lastRow="0" w:firstColumn="1" w:lastColumn="0" w:noHBand="0" w:noVBand="1"/>
      </w:tblPr>
      <w:tblGrid>
        <w:gridCol w:w="8783"/>
      </w:tblGrid>
      <w:tr w:rsidR="00D43BF9" w:rsidRPr="00494717" w14:paraId="520952DB" w14:textId="77777777" w:rsidTr="00C877E3">
        <w:tc>
          <w:tcPr>
            <w:tcW w:w="8783" w:type="dxa"/>
            <w:shd w:val="clear" w:color="auto" w:fill="B8CCE4" w:themeFill="accent1" w:themeFillTint="66"/>
          </w:tcPr>
          <w:p w14:paraId="609674EC" w14:textId="77777777" w:rsidR="00D43BF9" w:rsidRPr="000130D9" w:rsidRDefault="00D43BF9" w:rsidP="00742B46">
            <w:pPr>
              <w:pStyle w:val="ListParagraph"/>
              <w:tabs>
                <w:tab w:val="left" w:pos="34"/>
              </w:tabs>
              <w:spacing w:line="276" w:lineRule="auto"/>
              <w:ind w:left="0"/>
              <w:contextualSpacing w:val="0"/>
              <w:jc w:val="both"/>
              <w:rPr>
                <w:rFonts w:ascii="Times New Roman" w:hAnsi="Times New Roman" w:cs="Times New Roman"/>
                <w:lang w:val="hr-HR"/>
              </w:rPr>
            </w:pPr>
            <w:r w:rsidRPr="000130D9">
              <w:rPr>
                <w:rFonts w:ascii="Times New Roman" w:hAnsi="Times New Roman" w:cs="Times New Roman"/>
                <w:lang w:val="hr-HR"/>
              </w:rPr>
              <w:t xml:space="preserve">Ako određena znanstvena organizacija provodi </w:t>
            </w:r>
            <w:r w:rsidRPr="000130D9">
              <w:rPr>
                <w:rFonts w:ascii="Times New Roman" w:hAnsi="Times New Roman" w:cs="Times New Roman"/>
                <w:b/>
                <w:lang w:val="hr-HR"/>
              </w:rPr>
              <w:t>gotovo isključivo neekonomske djelatnosti</w:t>
            </w:r>
            <w:r w:rsidRPr="000130D9">
              <w:rPr>
                <w:rFonts w:ascii="Times New Roman" w:hAnsi="Times New Roman" w:cs="Times New Roman"/>
                <w:lang w:val="hr-HR"/>
              </w:rPr>
              <w:t>, njezino financiranje može biti u potpunosti isključeno iz područja primjene pravila o državnim potporama pod uvjetom da je:</w:t>
            </w:r>
          </w:p>
          <w:p w14:paraId="07105FC6" w14:textId="77777777" w:rsidR="00D43BF9" w:rsidRPr="000130D9" w:rsidRDefault="00D43BF9" w:rsidP="00742B46">
            <w:pPr>
              <w:pStyle w:val="ListParagraph"/>
              <w:numPr>
                <w:ilvl w:val="0"/>
                <w:numId w:val="49"/>
              </w:numPr>
              <w:spacing w:line="276" w:lineRule="auto"/>
              <w:contextualSpacing w:val="0"/>
              <w:jc w:val="both"/>
              <w:rPr>
                <w:rFonts w:ascii="Times New Roman" w:hAnsi="Times New Roman" w:cs="Times New Roman"/>
                <w:lang w:val="hr-HR"/>
              </w:rPr>
            </w:pPr>
            <w:r w:rsidRPr="000130D9">
              <w:rPr>
                <w:rFonts w:ascii="Times New Roman" w:hAnsi="Times New Roman" w:cs="Times New Roman"/>
                <w:lang w:val="hr-HR"/>
              </w:rPr>
              <w:t xml:space="preserve">ekonomska djelatnost </w:t>
            </w:r>
            <w:r w:rsidRPr="000130D9">
              <w:rPr>
                <w:rFonts w:ascii="Times New Roman" w:hAnsi="Times New Roman" w:cs="Times New Roman"/>
                <w:b/>
                <w:lang w:val="hr-HR"/>
              </w:rPr>
              <w:t>isključivo pomoćna</w:t>
            </w:r>
            <w:r w:rsidRPr="000130D9">
              <w:rPr>
                <w:rFonts w:ascii="Times New Roman" w:hAnsi="Times New Roman" w:cs="Times New Roman"/>
                <w:lang w:val="hr-HR"/>
              </w:rPr>
              <w:t xml:space="preserve"> djelatnost, odnosno odgovara djelatnosti koja je:</w:t>
            </w:r>
          </w:p>
          <w:p w14:paraId="1A36E0D6" w14:textId="77777777" w:rsidR="00D43BF9" w:rsidRPr="000130D9" w:rsidRDefault="00D43BF9" w:rsidP="00742B46">
            <w:pPr>
              <w:pStyle w:val="ListParagraph"/>
              <w:numPr>
                <w:ilvl w:val="0"/>
                <w:numId w:val="50"/>
              </w:numPr>
              <w:spacing w:line="276" w:lineRule="auto"/>
              <w:contextualSpacing w:val="0"/>
              <w:jc w:val="both"/>
              <w:rPr>
                <w:rFonts w:ascii="Times New Roman" w:hAnsi="Times New Roman" w:cs="Times New Roman"/>
                <w:lang w:val="hr-HR"/>
              </w:rPr>
            </w:pPr>
            <w:r w:rsidRPr="000130D9">
              <w:rPr>
                <w:rFonts w:ascii="Times New Roman" w:hAnsi="Times New Roman" w:cs="Times New Roman"/>
                <w:lang w:val="hr-HR"/>
              </w:rPr>
              <w:t>izravno povezana s radom istraživačke/znanstvene organizacije i neophodna za taj rad ili</w:t>
            </w:r>
            <w:r w:rsidRPr="000130D9">
              <w:rPr>
                <w:rFonts w:ascii="Times New Roman" w:hAnsi="Times New Roman" w:cs="Times New Roman"/>
                <w:u w:val="single"/>
                <w:lang w:val="hr-HR"/>
              </w:rPr>
              <w:t xml:space="preserve"> </w:t>
            </w:r>
          </w:p>
          <w:p w14:paraId="465C242B" w14:textId="77777777" w:rsidR="00D43BF9" w:rsidRPr="000130D9" w:rsidRDefault="00D43BF9" w:rsidP="00742B46">
            <w:pPr>
              <w:pStyle w:val="ListParagraph"/>
              <w:numPr>
                <w:ilvl w:val="0"/>
                <w:numId w:val="50"/>
              </w:numPr>
              <w:spacing w:line="276" w:lineRule="auto"/>
              <w:contextualSpacing w:val="0"/>
              <w:jc w:val="both"/>
              <w:rPr>
                <w:rFonts w:ascii="Times New Roman" w:hAnsi="Times New Roman" w:cs="Times New Roman"/>
                <w:lang w:val="hr-HR"/>
              </w:rPr>
            </w:pPr>
            <w:r w:rsidRPr="000130D9">
              <w:rPr>
                <w:rFonts w:ascii="Times New Roman" w:hAnsi="Times New Roman" w:cs="Times New Roman"/>
                <w:lang w:val="hr-HR"/>
              </w:rPr>
              <w:t xml:space="preserve">neodvojivo povezana s njihovom glavnom neekonomskom upotrebom, i </w:t>
            </w:r>
          </w:p>
          <w:p w14:paraId="57E468D3" w14:textId="77777777" w:rsidR="00B05A1B" w:rsidRPr="000130D9" w:rsidRDefault="00D43BF9" w:rsidP="00742B46">
            <w:pPr>
              <w:pStyle w:val="ListParagraph"/>
              <w:numPr>
                <w:ilvl w:val="0"/>
                <w:numId w:val="49"/>
              </w:numPr>
              <w:spacing w:line="276" w:lineRule="auto"/>
              <w:contextualSpacing w:val="0"/>
              <w:jc w:val="both"/>
              <w:rPr>
                <w:rFonts w:ascii="Times New Roman" w:hAnsi="Times New Roman" w:cs="Times New Roman"/>
                <w:lang w:val="hr-HR"/>
              </w:rPr>
            </w:pPr>
            <w:r w:rsidRPr="000130D9">
              <w:rPr>
                <w:rFonts w:ascii="Times New Roman" w:hAnsi="Times New Roman" w:cs="Times New Roman"/>
                <w:lang w:val="hr-HR"/>
              </w:rPr>
              <w:t xml:space="preserve">opseg joj je ograničen. </w:t>
            </w:r>
          </w:p>
          <w:p w14:paraId="7096535F" w14:textId="77777777" w:rsidR="00D43BF9" w:rsidRPr="000130D9" w:rsidRDefault="00D43BF9" w:rsidP="00742B46">
            <w:pPr>
              <w:pStyle w:val="ListParagraph"/>
              <w:tabs>
                <w:tab w:val="left" w:pos="0"/>
              </w:tabs>
              <w:spacing w:line="276" w:lineRule="auto"/>
              <w:ind w:left="0"/>
              <w:contextualSpacing w:val="0"/>
              <w:jc w:val="both"/>
              <w:rPr>
                <w:rFonts w:ascii="Times New Roman" w:hAnsi="Times New Roman" w:cs="Times New Roman"/>
                <w:lang w:val="hr-HR"/>
              </w:rPr>
            </w:pPr>
            <w:r w:rsidRPr="000130D9">
              <w:rPr>
                <w:rFonts w:ascii="Times New Roman" w:hAnsi="Times New Roman" w:cs="Times New Roman"/>
                <w:lang w:val="hr-HR"/>
              </w:rPr>
              <w:t xml:space="preserve">To je slučaj ako ekonomske djelatnosti </w:t>
            </w:r>
            <w:r w:rsidRPr="000130D9">
              <w:rPr>
                <w:rFonts w:ascii="Times New Roman" w:hAnsi="Times New Roman" w:cs="Times New Roman"/>
                <w:b/>
                <w:lang w:val="hr-HR"/>
              </w:rPr>
              <w:t>troše potpuno jednake inpute</w:t>
            </w:r>
            <w:r w:rsidRPr="000130D9">
              <w:rPr>
                <w:rFonts w:ascii="Times New Roman" w:hAnsi="Times New Roman" w:cs="Times New Roman"/>
                <w:lang w:val="hr-HR"/>
              </w:rPr>
              <w:t xml:space="preserve"> (primjerice materijal, oprema, radna snaga i fiksni kapital) kao i neekonomske djelatnosti, a kapaciteti koji se svake godine dodjeljuju tim ekonomskim djelatnostima ne premašuju 20% ukupnih godišnjih kapaciteta predmetnog subjekta</w:t>
            </w:r>
            <w:r w:rsidR="005909A1" w:rsidRPr="000130D9">
              <w:rPr>
                <w:rStyle w:val="FootnoteReference"/>
                <w:rFonts w:ascii="Times New Roman" w:hAnsi="Times New Roman" w:cs="Times New Roman"/>
                <w:lang w:val="hr-HR"/>
              </w:rPr>
              <w:footnoteReference w:id="9"/>
            </w:r>
            <w:r w:rsidRPr="000130D9">
              <w:rPr>
                <w:rFonts w:ascii="Times New Roman" w:hAnsi="Times New Roman" w:cs="Times New Roman"/>
                <w:lang w:val="hr-HR"/>
              </w:rPr>
              <w:t>.</w:t>
            </w:r>
          </w:p>
        </w:tc>
      </w:tr>
    </w:tbl>
    <w:p w14:paraId="00813782" w14:textId="77777777" w:rsidR="000F133D" w:rsidRDefault="000F133D" w:rsidP="00742B46">
      <w:pPr>
        <w:pStyle w:val="ListParagraph"/>
        <w:spacing w:after="0"/>
        <w:ind w:left="0"/>
        <w:contextualSpacing w:val="0"/>
        <w:jc w:val="both"/>
        <w:rPr>
          <w:rFonts w:ascii="Times New Roman" w:hAnsi="Times New Roman" w:cs="Times New Roman"/>
          <w:sz w:val="24"/>
          <w:szCs w:val="24"/>
          <w:lang w:val="hr-HR"/>
        </w:rPr>
      </w:pPr>
    </w:p>
    <w:p w14:paraId="7FDAEC1C" w14:textId="77777777" w:rsidR="00742B46" w:rsidRDefault="00742B46" w:rsidP="00742B46">
      <w:pPr>
        <w:pStyle w:val="ListParagraph"/>
        <w:spacing w:after="0"/>
        <w:ind w:left="0"/>
        <w:contextualSpacing w:val="0"/>
        <w:jc w:val="both"/>
        <w:rPr>
          <w:rFonts w:ascii="Times New Roman" w:hAnsi="Times New Roman" w:cs="Times New Roman"/>
          <w:sz w:val="24"/>
          <w:szCs w:val="24"/>
          <w:lang w:val="hr-HR"/>
        </w:rPr>
      </w:pPr>
    </w:p>
    <w:p w14:paraId="0CA0E96F" w14:textId="77777777" w:rsidR="00742B46" w:rsidRDefault="00742B46" w:rsidP="00742B46">
      <w:pPr>
        <w:pStyle w:val="ListParagraph"/>
        <w:spacing w:after="0"/>
        <w:ind w:left="0"/>
        <w:contextualSpacing w:val="0"/>
        <w:jc w:val="both"/>
        <w:rPr>
          <w:rFonts w:ascii="Times New Roman" w:hAnsi="Times New Roman" w:cs="Times New Roman"/>
          <w:sz w:val="24"/>
          <w:szCs w:val="24"/>
          <w:lang w:val="hr-HR"/>
        </w:rPr>
      </w:pPr>
    </w:p>
    <w:p w14:paraId="1427F329" w14:textId="77777777" w:rsidR="00742B46" w:rsidRDefault="00742B46" w:rsidP="00742B46">
      <w:pPr>
        <w:pStyle w:val="ListParagraph"/>
        <w:spacing w:after="0"/>
        <w:ind w:left="0"/>
        <w:contextualSpacing w:val="0"/>
        <w:jc w:val="both"/>
        <w:rPr>
          <w:rFonts w:ascii="Times New Roman" w:hAnsi="Times New Roman" w:cs="Times New Roman"/>
          <w:sz w:val="24"/>
          <w:szCs w:val="24"/>
          <w:lang w:val="hr-HR"/>
        </w:rPr>
      </w:pPr>
    </w:p>
    <w:p w14:paraId="4B9F5521" w14:textId="65AE8D19" w:rsidR="003970D4" w:rsidRDefault="003970D4" w:rsidP="00742B46">
      <w:pPr>
        <w:pStyle w:val="ListParagraph"/>
        <w:spacing w:after="0"/>
        <w:ind w:left="0"/>
        <w:contextualSpacing w:val="0"/>
        <w:jc w:val="both"/>
        <w:rPr>
          <w:rFonts w:ascii="Times New Roman" w:hAnsi="Times New Roman" w:cs="Times New Roman"/>
          <w:sz w:val="24"/>
          <w:szCs w:val="24"/>
          <w:lang w:val="hr-HR"/>
        </w:rPr>
      </w:pPr>
      <w:r w:rsidRPr="003970D4">
        <w:rPr>
          <w:rFonts w:ascii="Times New Roman" w:hAnsi="Times New Roman" w:cs="Times New Roman"/>
          <w:sz w:val="24"/>
          <w:szCs w:val="24"/>
          <w:lang w:val="hr-HR"/>
        </w:rPr>
        <w:t>Pr</w:t>
      </w:r>
      <w:r>
        <w:rPr>
          <w:rFonts w:ascii="Times New Roman" w:hAnsi="Times New Roman" w:cs="Times New Roman"/>
          <w:sz w:val="24"/>
          <w:szCs w:val="24"/>
          <w:lang w:val="hr-HR"/>
        </w:rPr>
        <w:t xml:space="preserve">itom se pojam </w:t>
      </w:r>
      <w:r w:rsidR="005B3242">
        <w:rPr>
          <w:rFonts w:ascii="Times New Roman" w:hAnsi="Times New Roman" w:cs="Times New Roman"/>
          <w:sz w:val="24"/>
          <w:szCs w:val="24"/>
          <w:lang w:val="hr-HR"/>
        </w:rPr>
        <w:t>„</w:t>
      </w:r>
      <w:r>
        <w:rPr>
          <w:rFonts w:ascii="Times New Roman" w:hAnsi="Times New Roman" w:cs="Times New Roman"/>
          <w:sz w:val="24"/>
          <w:szCs w:val="24"/>
          <w:lang w:val="hr-HR"/>
        </w:rPr>
        <w:t>predmetni subjekt</w:t>
      </w:r>
      <w:r w:rsidR="005B3242">
        <w:rPr>
          <w:rFonts w:ascii="Times New Roman" w:hAnsi="Times New Roman" w:cs="Times New Roman"/>
          <w:sz w:val="24"/>
          <w:szCs w:val="24"/>
          <w:lang w:val="hr-HR"/>
        </w:rPr>
        <w:t>“</w:t>
      </w:r>
      <w:r w:rsidRPr="003970D4">
        <w:rPr>
          <w:rFonts w:ascii="Times New Roman" w:hAnsi="Times New Roman" w:cs="Times New Roman"/>
          <w:sz w:val="24"/>
          <w:szCs w:val="24"/>
          <w:lang w:val="hr-HR"/>
        </w:rPr>
        <w:t xml:space="preserve"> odnosi na npr. laboratorij, centar, zavod, ustrojstvenu jedinicu u okviru koje se oprema kupuje. Ako sama oprema koja se kupuje može biti zasebno shvaćena kao predmetni subjekt tj. da svrha rada te opreme ne ovisi o drugoj opremi tj. nije </w:t>
      </w:r>
    </w:p>
    <w:p w14:paraId="42126C02" w14:textId="4A3C2CD8" w:rsidR="003970D4" w:rsidRDefault="003970D4" w:rsidP="00742B46">
      <w:pPr>
        <w:pStyle w:val="ListParagraph"/>
        <w:spacing w:after="0"/>
        <w:ind w:left="0"/>
        <w:contextualSpacing w:val="0"/>
        <w:jc w:val="both"/>
        <w:rPr>
          <w:rFonts w:ascii="Times New Roman" w:hAnsi="Times New Roman" w:cs="Times New Roman"/>
          <w:sz w:val="24"/>
          <w:szCs w:val="24"/>
          <w:lang w:val="hr-HR"/>
        </w:rPr>
      </w:pPr>
      <w:r w:rsidRPr="003970D4">
        <w:rPr>
          <w:rFonts w:ascii="Times New Roman" w:hAnsi="Times New Roman" w:cs="Times New Roman"/>
          <w:sz w:val="24"/>
          <w:szCs w:val="24"/>
          <w:lang w:val="hr-HR"/>
        </w:rPr>
        <w:t>sastavni dio veće cjeline, onda bi se oprema mogla smatrati predmetnim subjektom za izračun kapaciteta. U suprotnom</w:t>
      </w:r>
      <w:r>
        <w:rPr>
          <w:rFonts w:ascii="Times New Roman" w:hAnsi="Times New Roman" w:cs="Times New Roman"/>
          <w:sz w:val="24"/>
          <w:szCs w:val="24"/>
          <w:lang w:val="hr-HR"/>
        </w:rPr>
        <w:t>, ako je oprema koja se nabavlja</w:t>
      </w:r>
      <w:r w:rsidRPr="003970D4">
        <w:rPr>
          <w:rFonts w:ascii="Times New Roman" w:hAnsi="Times New Roman" w:cs="Times New Roman"/>
          <w:sz w:val="24"/>
          <w:szCs w:val="24"/>
          <w:lang w:val="hr-HR"/>
        </w:rPr>
        <w:t xml:space="preserve"> u okviru projekta dio jedne cjeline (tj. ovisi o radu druge opreme ili će se za svrhu istraživanja koje se provodi koristi kao dio cjeline), onda se ta </w:t>
      </w:r>
      <w:r w:rsidRPr="003970D4">
        <w:rPr>
          <w:rFonts w:ascii="Times New Roman" w:hAnsi="Times New Roman" w:cs="Times New Roman"/>
          <w:sz w:val="24"/>
          <w:szCs w:val="24"/>
          <w:u w:val="single"/>
          <w:lang w:val="hr-HR"/>
        </w:rPr>
        <w:t xml:space="preserve">najmanja funkcionalna </w:t>
      </w:r>
      <w:r w:rsidRPr="005B3242">
        <w:rPr>
          <w:rFonts w:ascii="Times New Roman" w:hAnsi="Times New Roman" w:cs="Times New Roman"/>
          <w:sz w:val="24"/>
          <w:szCs w:val="24"/>
          <w:u w:val="single"/>
          <w:lang w:val="hr-HR"/>
        </w:rPr>
        <w:t>cjelina smatra predmetnim subjektom</w:t>
      </w:r>
      <w:r w:rsidRPr="003970D4">
        <w:rPr>
          <w:rFonts w:ascii="Times New Roman" w:hAnsi="Times New Roman" w:cs="Times New Roman"/>
          <w:sz w:val="24"/>
          <w:szCs w:val="24"/>
          <w:lang w:val="hr-HR"/>
        </w:rPr>
        <w:t>.</w:t>
      </w:r>
    </w:p>
    <w:p w14:paraId="0A723709" w14:textId="77777777" w:rsidR="003970D4" w:rsidRPr="008C3983" w:rsidRDefault="003970D4" w:rsidP="00742B46">
      <w:pPr>
        <w:pStyle w:val="ListParagraph"/>
        <w:spacing w:after="0"/>
        <w:ind w:left="0"/>
        <w:contextualSpacing w:val="0"/>
        <w:jc w:val="both"/>
        <w:rPr>
          <w:rFonts w:ascii="Times New Roman" w:hAnsi="Times New Roman" w:cs="Times New Roman"/>
          <w:sz w:val="16"/>
          <w:szCs w:val="24"/>
          <w:lang w:val="hr-HR"/>
        </w:rPr>
      </w:pPr>
    </w:p>
    <w:p w14:paraId="247C8972" w14:textId="0191367C" w:rsidR="00361FA9" w:rsidRDefault="00551E79" w:rsidP="00742B46">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U slučaju da se isti subjekt bavi i ekonomskim i neekonomskim djelatnostima, javno financiranje neekonomskih djelatnosti neće biti obuhvaćeno člankom 107. stavkom 1. Ugovora, </w:t>
      </w:r>
    </w:p>
    <w:p w14:paraId="00927C56" w14:textId="0C018DE1" w:rsidR="00D43BF9" w:rsidRPr="000130D9" w:rsidRDefault="00551E79" w:rsidP="00742B46">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ako je moguće jednoznačno odvojiti dvije vrste aktivnosti, njihove troškove, financiranje i prihode kako bi se djelotvorno izbjeglo unakrsno subvencioniranje ekonomske djelatnosti. </w:t>
      </w:r>
      <w:r w:rsidR="00110E07" w:rsidRPr="000130D9">
        <w:rPr>
          <w:rFonts w:ascii="Times New Roman" w:hAnsi="Times New Roman" w:cs="Times New Roman"/>
          <w:sz w:val="24"/>
          <w:szCs w:val="24"/>
          <w:lang w:val="hr-HR"/>
        </w:rPr>
        <w:t xml:space="preserve">U tom slučaju </w:t>
      </w:r>
      <w:r w:rsidR="00DE630E" w:rsidRPr="000130D9">
        <w:rPr>
          <w:rFonts w:ascii="Times New Roman" w:hAnsi="Times New Roman" w:cs="Times New Roman"/>
          <w:sz w:val="24"/>
          <w:szCs w:val="24"/>
          <w:lang w:val="hr-HR"/>
        </w:rPr>
        <w:t>potrebno je u</w:t>
      </w:r>
      <w:r w:rsidR="00110E07" w:rsidRPr="000130D9">
        <w:rPr>
          <w:rFonts w:ascii="Times New Roman" w:hAnsi="Times New Roman" w:cs="Times New Roman"/>
          <w:sz w:val="24"/>
          <w:szCs w:val="24"/>
          <w:lang w:val="hr-HR"/>
        </w:rPr>
        <w:t xml:space="preserve">vesti odvajanje ekonomskih i neekonomskih djelatnosti (raspodjelu troškova, izvora financijskih sredstava i prihoda) koje nadalje mora biti vidljivo u </w:t>
      </w:r>
      <w:r w:rsidR="008B2C85">
        <w:rPr>
          <w:rFonts w:ascii="Times New Roman" w:hAnsi="Times New Roman" w:cs="Times New Roman"/>
          <w:sz w:val="24"/>
          <w:szCs w:val="24"/>
          <w:lang w:val="hr-HR"/>
        </w:rPr>
        <w:t xml:space="preserve">bruto bilanci i </w:t>
      </w:r>
      <w:r w:rsidR="00110E07" w:rsidRPr="000130D9">
        <w:rPr>
          <w:rFonts w:ascii="Times New Roman" w:hAnsi="Times New Roman" w:cs="Times New Roman"/>
          <w:sz w:val="24"/>
          <w:szCs w:val="24"/>
          <w:lang w:val="hr-HR"/>
        </w:rPr>
        <w:t>godišnjim financijskim izvještajima mjerodavnog subjekta</w:t>
      </w:r>
      <w:r w:rsidR="00DE630E" w:rsidRPr="000130D9">
        <w:rPr>
          <w:rFonts w:ascii="Times New Roman" w:hAnsi="Times New Roman" w:cs="Times New Roman"/>
          <w:sz w:val="24"/>
          <w:szCs w:val="24"/>
          <w:lang w:val="hr-HR"/>
        </w:rPr>
        <w:t xml:space="preserve">. </w:t>
      </w:r>
    </w:p>
    <w:p w14:paraId="0EB8AE7C" w14:textId="77777777" w:rsidR="00347B19" w:rsidRPr="000130D9" w:rsidRDefault="00347B19" w:rsidP="00742B46">
      <w:pPr>
        <w:pStyle w:val="ListParagraph"/>
        <w:spacing w:after="0"/>
        <w:ind w:left="1080"/>
        <w:jc w:val="both"/>
        <w:rPr>
          <w:rFonts w:ascii="Times New Roman" w:eastAsia="SimSun" w:hAnsi="Times New Roman" w:cs="Times New Roman"/>
          <w:lang w:val="hr-HR" w:eastAsia="zh-CN"/>
        </w:rPr>
      </w:pPr>
    </w:p>
    <w:p w14:paraId="5E0A8A36" w14:textId="77777777" w:rsidR="00C61C81" w:rsidRPr="000130D9" w:rsidRDefault="00641F26" w:rsidP="00742B46">
      <w:pPr>
        <w:pStyle w:val="Heading2"/>
        <w:numPr>
          <w:ilvl w:val="0"/>
          <w:numId w:val="0"/>
        </w:numPr>
        <w:jc w:val="both"/>
        <w:rPr>
          <w:rFonts w:ascii="Times New Roman" w:eastAsia="SimSun" w:hAnsi="Times New Roman" w:cs="Times New Roman"/>
          <w:sz w:val="24"/>
          <w:szCs w:val="24"/>
          <w:lang w:val="hr-HR" w:eastAsia="zh-CN"/>
        </w:rPr>
      </w:pPr>
      <w:r w:rsidRPr="000130D9">
        <w:rPr>
          <w:rFonts w:ascii="Times New Roman" w:eastAsia="SimSun" w:hAnsi="Times New Roman" w:cs="Times New Roman"/>
          <w:sz w:val="24"/>
          <w:szCs w:val="24"/>
          <w:lang w:val="hr-HR" w:eastAsia="zh-CN"/>
        </w:rPr>
        <w:t>Kontrol</w:t>
      </w:r>
      <w:r w:rsidR="00D96E49" w:rsidRPr="000130D9">
        <w:rPr>
          <w:rFonts w:ascii="Times New Roman" w:eastAsia="SimSun" w:hAnsi="Times New Roman" w:cs="Times New Roman"/>
          <w:sz w:val="24"/>
          <w:szCs w:val="24"/>
          <w:lang w:val="hr-HR" w:eastAsia="zh-CN"/>
        </w:rPr>
        <w:t>e</w:t>
      </w:r>
      <w:r w:rsidRPr="000130D9">
        <w:rPr>
          <w:rFonts w:ascii="Times New Roman" w:eastAsia="SimSun" w:hAnsi="Times New Roman" w:cs="Times New Roman"/>
          <w:sz w:val="24"/>
          <w:szCs w:val="24"/>
          <w:lang w:val="hr-HR" w:eastAsia="zh-CN"/>
        </w:rPr>
        <w:t xml:space="preserve"> i povrati</w:t>
      </w:r>
    </w:p>
    <w:p w14:paraId="556523AD" w14:textId="77777777" w:rsidR="00782C18" w:rsidRPr="00361FA9" w:rsidRDefault="00782C18" w:rsidP="00742B46">
      <w:pPr>
        <w:pStyle w:val="ListParagraph"/>
        <w:spacing w:after="0"/>
        <w:ind w:left="0"/>
        <w:jc w:val="both"/>
        <w:rPr>
          <w:rFonts w:ascii="Times New Roman" w:hAnsi="Times New Roman" w:cs="Times New Roman"/>
          <w:sz w:val="12"/>
          <w:lang w:val="hr-HR"/>
        </w:rPr>
      </w:pPr>
    </w:p>
    <w:p w14:paraId="24169524" w14:textId="726FB481" w:rsidR="00280091" w:rsidRPr="000130D9" w:rsidRDefault="003C3970" w:rsidP="00742B46">
      <w:pPr>
        <w:pStyle w:val="ListParagraph"/>
        <w:spacing w:after="0"/>
        <w:ind w:left="0"/>
        <w:jc w:val="both"/>
        <w:rPr>
          <w:rFonts w:ascii="Times New Roman" w:eastAsia="SimSun" w:hAnsi="Times New Roman" w:cs="Times New Roman"/>
          <w:sz w:val="24"/>
          <w:szCs w:val="24"/>
          <w:lang w:val="hr-HR" w:eastAsia="zh-CN"/>
        </w:rPr>
      </w:pPr>
      <w:r w:rsidRPr="000130D9">
        <w:rPr>
          <w:rFonts w:ascii="Times New Roman" w:hAnsi="Times New Roman" w:cs="Times New Roman"/>
          <w:sz w:val="24"/>
          <w:szCs w:val="24"/>
          <w:lang w:val="hr-HR"/>
        </w:rPr>
        <w:t>N</w:t>
      </w:r>
      <w:r w:rsidR="00363629" w:rsidRPr="000130D9">
        <w:rPr>
          <w:rFonts w:ascii="Times New Roman" w:hAnsi="Times New Roman" w:cs="Times New Roman"/>
          <w:sz w:val="24"/>
          <w:szCs w:val="24"/>
          <w:lang w:val="hr-HR"/>
        </w:rPr>
        <w:t xml:space="preserve">avedeni uvjeti o financiranju neekonomskih djelatnosti </w:t>
      </w:r>
      <w:r w:rsidR="00DE630E" w:rsidRPr="000130D9">
        <w:rPr>
          <w:rFonts w:ascii="Times New Roman" w:hAnsi="Times New Roman" w:cs="Times New Roman"/>
          <w:sz w:val="24"/>
          <w:szCs w:val="24"/>
          <w:lang w:val="hr-HR"/>
        </w:rPr>
        <w:t xml:space="preserve">istraživačkih </w:t>
      </w:r>
      <w:r w:rsidR="00363629" w:rsidRPr="000130D9">
        <w:rPr>
          <w:rFonts w:ascii="Times New Roman" w:hAnsi="Times New Roman" w:cs="Times New Roman"/>
          <w:sz w:val="24"/>
          <w:szCs w:val="24"/>
          <w:lang w:val="hr-HR"/>
        </w:rPr>
        <w:t>organizacija podložni su kontroli</w:t>
      </w:r>
      <w:r w:rsidR="001669E8" w:rsidRPr="000130D9">
        <w:rPr>
          <w:rFonts w:ascii="Times New Roman" w:hAnsi="Times New Roman" w:cs="Times New Roman"/>
          <w:sz w:val="24"/>
          <w:szCs w:val="24"/>
          <w:lang w:val="hr-HR"/>
        </w:rPr>
        <w:t xml:space="preserve">. </w:t>
      </w:r>
      <w:r w:rsidR="00F7083E" w:rsidRPr="000130D9">
        <w:rPr>
          <w:rFonts w:ascii="Times New Roman" w:hAnsi="Times New Roman" w:cs="Times New Roman"/>
          <w:sz w:val="24"/>
          <w:szCs w:val="24"/>
          <w:lang w:val="hr-HR"/>
        </w:rPr>
        <w:t xml:space="preserve">Kontrola podrazumijeva pregled Izvješća o korištenju </w:t>
      </w:r>
      <w:r w:rsidR="00761EC8" w:rsidRPr="000130D9">
        <w:rPr>
          <w:rFonts w:ascii="Times New Roman" w:hAnsi="Times New Roman" w:cs="Times New Roman"/>
          <w:sz w:val="24"/>
          <w:szCs w:val="24"/>
          <w:lang w:val="hr-HR"/>
        </w:rPr>
        <w:t>kapaciteta</w:t>
      </w:r>
      <w:r w:rsidR="00F7083E" w:rsidRPr="000130D9">
        <w:rPr>
          <w:rFonts w:ascii="Times New Roman" w:hAnsi="Times New Roman" w:cs="Times New Roman"/>
          <w:sz w:val="24"/>
          <w:szCs w:val="24"/>
          <w:lang w:val="hr-HR"/>
        </w:rPr>
        <w:t xml:space="preserve"> u</w:t>
      </w:r>
      <w:r w:rsidR="001669E8" w:rsidRPr="000130D9">
        <w:rPr>
          <w:rFonts w:ascii="Times New Roman" w:hAnsi="Times New Roman" w:cs="Times New Roman"/>
          <w:sz w:val="24"/>
          <w:szCs w:val="24"/>
          <w:lang w:val="hr-HR"/>
        </w:rPr>
        <w:t xml:space="preserve"> </w:t>
      </w:r>
      <w:r w:rsidR="00CD4121" w:rsidRPr="000130D9">
        <w:rPr>
          <w:rFonts w:ascii="Times New Roman" w:hAnsi="Times New Roman" w:cs="Times New Roman"/>
          <w:sz w:val="24"/>
          <w:szCs w:val="24"/>
          <w:lang w:val="hr-HR"/>
        </w:rPr>
        <w:t>razdoblju</w:t>
      </w:r>
      <w:r w:rsidR="001669E8" w:rsidRPr="000130D9">
        <w:rPr>
          <w:rFonts w:ascii="Times New Roman" w:hAnsi="Times New Roman" w:cs="Times New Roman"/>
          <w:sz w:val="24"/>
          <w:szCs w:val="24"/>
          <w:lang w:val="hr-HR"/>
        </w:rPr>
        <w:t xml:space="preserve"> nakon završetka provedbe projekta do </w:t>
      </w:r>
      <w:r w:rsidR="00EF510B">
        <w:rPr>
          <w:rFonts w:ascii="Times New Roman" w:hAnsi="Times New Roman" w:cs="Times New Roman"/>
          <w:sz w:val="24"/>
          <w:szCs w:val="24"/>
          <w:lang w:val="hr-HR"/>
        </w:rPr>
        <w:t xml:space="preserve">isteka roka za amortizaciju </w:t>
      </w:r>
      <w:r w:rsidR="001669E8" w:rsidRPr="000130D9">
        <w:rPr>
          <w:rFonts w:ascii="Times New Roman" w:hAnsi="Times New Roman" w:cs="Times New Roman"/>
          <w:sz w:val="24"/>
          <w:szCs w:val="24"/>
          <w:lang w:val="hr-HR"/>
        </w:rPr>
        <w:t>nabavljene opreme</w:t>
      </w:r>
      <w:r w:rsidR="00FB1436" w:rsidRPr="000130D9">
        <w:rPr>
          <w:rFonts w:ascii="Times New Roman" w:hAnsi="Times New Roman" w:cs="Times New Roman"/>
          <w:sz w:val="24"/>
          <w:szCs w:val="24"/>
          <w:lang w:val="hr-HR"/>
        </w:rPr>
        <w:t xml:space="preserve"> i financijskih izvještaja iz kojih je vidljivo da su financiranje, troškovi i prihodi ekonomskih i neekonomskih djelatnosti odvojeni</w:t>
      </w:r>
      <w:r w:rsidR="00DE630E" w:rsidRPr="000130D9">
        <w:rPr>
          <w:rFonts w:ascii="Times New Roman" w:hAnsi="Times New Roman" w:cs="Times New Roman"/>
          <w:sz w:val="24"/>
          <w:szCs w:val="24"/>
          <w:lang w:val="hr-HR"/>
        </w:rPr>
        <w:t xml:space="preserve"> (ukoliko je primjenjivo)</w:t>
      </w:r>
      <w:r w:rsidR="00FB1436" w:rsidRPr="000130D9">
        <w:rPr>
          <w:rFonts w:ascii="Times New Roman" w:hAnsi="Times New Roman" w:cs="Times New Roman"/>
          <w:sz w:val="24"/>
          <w:szCs w:val="24"/>
          <w:lang w:val="hr-HR"/>
        </w:rPr>
        <w:t>.</w:t>
      </w:r>
      <w:r w:rsidR="00DE630E" w:rsidRPr="000130D9">
        <w:rPr>
          <w:rFonts w:ascii="Times New Roman" w:hAnsi="Times New Roman" w:cs="Times New Roman"/>
          <w:sz w:val="24"/>
          <w:szCs w:val="24"/>
          <w:lang w:val="hr-HR"/>
        </w:rPr>
        <w:t xml:space="preserve"> </w:t>
      </w:r>
    </w:p>
    <w:p w14:paraId="11645222" w14:textId="77777777" w:rsidR="005F6ADC" w:rsidRPr="000130D9" w:rsidRDefault="005F6ADC" w:rsidP="00742B46">
      <w:pPr>
        <w:spacing w:after="0"/>
        <w:jc w:val="both"/>
        <w:rPr>
          <w:rFonts w:ascii="Times New Roman" w:hAnsi="Times New Roman" w:cs="Times New Roman"/>
          <w:sz w:val="24"/>
          <w:szCs w:val="24"/>
          <w:lang w:val="hr-HR"/>
        </w:rPr>
      </w:pPr>
    </w:p>
    <w:p w14:paraId="50AFA3D7" w14:textId="23FED61E" w:rsidR="005F6ADC" w:rsidRDefault="005F6ADC" w:rsidP="00742B46">
      <w:pPr>
        <w:spacing w:after="0"/>
        <w:jc w:val="both"/>
        <w:rPr>
          <w:rFonts w:ascii="Times New Roman" w:hAnsi="Times New Roman" w:cs="Times New Roman"/>
          <w:sz w:val="24"/>
          <w:szCs w:val="24"/>
          <w:u w:val="single"/>
          <w:lang w:val="hr-HR"/>
        </w:rPr>
      </w:pPr>
      <w:r w:rsidRPr="000130D9">
        <w:rPr>
          <w:rFonts w:ascii="Times New Roman" w:hAnsi="Times New Roman" w:cs="Times New Roman"/>
          <w:sz w:val="24"/>
          <w:szCs w:val="24"/>
          <w:u w:val="single"/>
          <w:lang w:val="hr-HR"/>
        </w:rPr>
        <w:t xml:space="preserve">Izvješća o </w:t>
      </w:r>
      <w:r w:rsidR="0088076B">
        <w:rPr>
          <w:rFonts w:ascii="Times New Roman" w:hAnsi="Times New Roman" w:cs="Times New Roman"/>
          <w:sz w:val="24"/>
          <w:szCs w:val="24"/>
          <w:u w:val="single"/>
          <w:lang w:val="hr-HR"/>
        </w:rPr>
        <w:t>korištenju kapaciteta (dostavit</w:t>
      </w:r>
      <w:r w:rsidR="00B53249">
        <w:rPr>
          <w:rFonts w:ascii="Times New Roman" w:hAnsi="Times New Roman" w:cs="Times New Roman"/>
          <w:sz w:val="24"/>
          <w:szCs w:val="24"/>
          <w:u w:val="single"/>
          <w:lang w:val="hr-HR"/>
        </w:rPr>
        <w:t xml:space="preserve"> će se naknadno) </w:t>
      </w:r>
    </w:p>
    <w:p w14:paraId="7461037F" w14:textId="77777777" w:rsidR="00532CC6" w:rsidRPr="00532CC6" w:rsidRDefault="00532CC6" w:rsidP="00742B46">
      <w:pPr>
        <w:spacing w:after="0"/>
        <w:jc w:val="both"/>
        <w:rPr>
          <w:rFonts w:ascii="Times New Roman" w:hAnsi="Times New Roman" w:cs="Times New Roman"/>
          <w:sz w:val="14"/>
          <w:szCs w:val="24"/>
          <w:u w:val="single"/>
          <w:lang w:val="hr-HR"/>
        </w:rPr>
      </w:pPr>
    </w:p>
    <w:p w14:paraId="7D2D3F80" w14:textId="1D5C7F7C" w:rsidR="00474D97" w:rsidRPr="000130D9" w:rsidRDefault="00F7083E" w:rsidP="00742B46">
      <w:p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K</w:t>
      </w:r>
      <w:r w:rsidR="00280091" w:rsidRPr="000130D9">
        <w:rPr>
          <w:rFonts w:ascii="Times New Roman" w:hAnsi="Times New Roman" w:cs="Times New Roman"/>
          <w:sz w:val="24"/>
          <w:szCs w:val="24"/>
          <w:lang w:val="hr-HR"/>
        </w:rPr>
        <w:t xml:space="preserve">orisnik </w:t>
      </w:r>
      <w:r w:rsidR="00E263E2">
        <w:rPr>
          <w:rFonts w:ascii="Times New Roman" w:hAnsi="Times New Roman" w:cs="Times New Roman"/>
          <w:sz w:val="24"/>
          <w:szCs w:val="24"/>
          <w:lang w:val="hr-HR"/>
        </w:rPr>
        <w:t>(</w:t>
      </w:r>
      <w:r w:rsidR="0088076B">
        <w:rPr>
          <w:rFonts w:ascii="Times New Roman" w:hAnsi="Times New Roman" w:cs="Times New Roman"/>
          <w:sz w:val="24"/>
          <w:szCs w:val="24"/>
          <w:lang w:val="hr-HR"/>
        </w:rPr>
        <w:t>istraživačka</w:t>
      </w:r>
      <w:r w:rsidR="00DE630E" w:rsidRPr="000130D9">
        <w:rPr>
          <w:rFonts w:ascii="Times New Roman" w:hAnsi="Times New Roman" w:cs="Times New Roman"/>
          <w:sz w:val="24"/>
          <w:szCs w:val="24"/>
          <w:lang w:val="hr-HR"/>
        </w:rPr>
        <w:t xml:space="preserve"> organizacija) </w:t>
      </w:r>
      <w:r w:rsidRPr="000130D9">
        <w:rPr>
          <w:rFonts w:ascii="Times New Roman" w:hAnsi="Times New Roman" w:cs="Times New Roman"/>
          <w:sz w:val="24"/>
          <w:szCs w:val="24"/>
          <w:lang w:val="hr-HR"/>
        </w:rPr>
        <w:t xml:space="preserve">će u godišnjem Izvješću </w:t>
      </w:r>
      <w:r w:rsidR="00614C94" w:rsidRPr="000130D9">
        <w:rPr>
          <w:rFonts w:ascii="Times New Roman" w:hAnsi="Times New Roman" w:cs="Times New Roman"/>
          <w:sz w:val="24"/>
          <w:szCs w:val="24"/>
          <w:lang w:val="hr-HR"/>
        </w:rPr>
        <w:t xml:space="preserve">morati </w:t>
      </w:r>
      <w:r w:rsidR="00E405C4" w:rsidRPr="000130D9">
        <w:rPr>
          <w:rFonts w:ascii="Times New Roman" w:hAnsi="Times New Roman" w:cs="Times New Roman"/>
          <w:sz w:val="24"/>
          <w:szCs w:val="24"/>
          <w:lang w:val="hr-HR"/>
        </w:rPr>
        <w:t xml:space="preserve">navesti </w:t>
      </w:r>
      <w:r w:rsidR="00614C94" w:rsidRPr="000130D9">
        <w:rPr>
          <w:rFonts w:ascii="Times New Roman" w:hAnsi="Times New Roman" w:cs="Times New Roman"/>
          <w:sz w:val="24"/>
          <w:szCs w:val="24"/>
          <w:lang w:val="hr-HR"/>
        </w:rPr>
        <w:t>koliko je radnih sati</w:t>
      </w:r>
      <w:r w:rsidR="00BA4282" w:rsidRPr="000130D9">
        <w:rPr>
          <w:rFonts w:ascii="Times New Roman" w:hAnsi="Times New Roman" w:cs="Times New Roman"/>
          <w:sz w:val="24"/>
          <w:szCs w:val="24"/>
          <w:lang w:val="hr-HR"/>
        </w:rPr>
        <w:t xml:space="preserve"> predmetnog subjekta opremljenog u okviru projekta </w:t>
      </w:r>
      <w:r w:rsidR="00614C94" w:rsidRPr="000130D9">
        <w:rPr>
          <w:rFonts w:ascii="Times New Roman" w:hAnsi="Times New Roman" w:cs="Times New Roman"/>
          <w:sz w:val="24"/>
          <w:szCs w:val="24"/>
          <w:lang w:val="hr-HR"/>
        </w:rPr>
        <w:t>(</w:t>
      </w:r>
      <w:r w:rsidR="00BA4282" w:rsidRPr="000130D9">
        <w:rPr>
          <w:rFonts w:ascii="Times New Roman" w:hAnsi="Times New Roman" w:cs="Times New Roman"/>
          <w:sz w:val="24"/>
          <w:szCs w:val="24"/>
          <w:lang w:val="hr-HR"/>
        </w:rPr>
        <w:t xml:space="preserve">npr. </w:t>
      </w:r>
      <w:r w:rsidR="00614C94" w:rsidRPr="000130D9">
        <w:rPr>
          <w:rFonts w:ascii="Times New Roman" w:hAnsi="Times New Roman" w:cs="Times New Roman"/>
          <w:sz w:val="24"/>
          <w:szCs w:val="24"/>
          <w:lang w:val="hr-HR"/>
        </w:rPr>
        <w:t xml:space="preserve">laboratorija, centra, ustrojstvene jedinice) u vidu korištenja znanstveno-istraživačke opreme, utrošeno na neekonomske i pomoćne ekonomske djelatnosti. </w:t>
      </w:r>
      <w:r w:rsidR="001669E8" w:rsidRPr="000130D9">
        <w:rPr>
          <w:rFonts w:ascii="Times New Roman" w:hAnsi="Times New Roman" w:cs="Times New Roman"/>
          <w:sz w:val="24"/>
          <w:szCs w:val="24"/>
          <w:lang w:val="hr-HR"/>
        </w:rPr>
        <w:t>Uz</w:t>
      </w:r>
      <w:r w:rsidR="00280091" w:rsidRPr="000130D9">
        <w:rPr>
          <w:rFonts w:ascii="Times New Roman" w:hAnsi="Times New Roman" w:cs="Times New Roman"/>
          <w:sz w:val="24"/>
          <w:szCs w:val="24"/>
          <w:lang w:val="hr-HR"/>
        </w:rPr>
        <w:t xml:space="preserve"> </w:t>
      </w:r>
      <w:r w:rsidR="001669E8" w:rsidRPr="000130D9">
        <w:rPr>
          <w:rFonts w:ascii="Times New Roman" w:hAnsi="Times New Roman" w:cs="Times New Roman"/>
          <w:sz w:val="24"/>
          <w:szCs w:val="24"/>
          <w:lang w:val="hr-HR"/>
        </w:rPr>
        <w:t>Izvješće</w:t>
      </w:r>
      <w:r w:rsidR="007917C8" w:rsidRPr="000130D9">
        <w:rPr>
          <w:rFonts w:ascii="Times New Roman" w:hAnsi="Times New Roman" w:cs="Times New Roman"/>
          <w:sz w:val="24"/>
          <w:szCs w:val="24"/>
          <w:lang w:val="hr-HR"/>
        </w:rPr>
        <w:t xml:space="preserve"> korisnik će morati dostaviti</w:t>
      </w:r>
      <w:r w:rsidR="00E405C4" w:rsidRPr="000130D9">
        <w:rPr>
          <w:rFonts w:ascii="Times New Roman" w:hAnsi="Times New Roman" w:cs="Times New Roman"/>
          <w:sz w:val="24"/>
          <w:szCs w:val="24"/>
          <w:lang w:val="hr-HR"/>
        </w:rPr>
        <w:t xml:space="preserve"> interni</w:t>
      </w:r>
      <w:r w:rsidR="007917C8" w:rsidRPr="000130D9">
        <w:rPr>
          <w:rFonts w:ascii="Times New Roman" w:hAnsi="Times New Roman" w:cs="Times New Roman"/>
          <w:sz w:val="24"/>
          <w:szCs w:val="24"/>
          <w:lang w:val="hr-HR"/>
        </w:rPr>
        <w:t xml:space="preserve"> </w:t>
      </w:r>
      <w:r w:rsidR="00280091" w:rsidRPr="000130D9">
        <w:rPr>
          <w:rFonts w:ascii="Times New Roman" w:hAnsi="Times New Roman" w:cs="Times New Roman"/>
          <w:sz w:val="24"/>
          <w:szCs w:val="24"/>
          <w:lang w:val="hr-HR"/>
        </w:rPr>
        <w:t xml:space="preserve">očevidnik korištenja </w:t>
      </w:r>
      <w:r w:rsidR="00E405C4" w:rsidRPr="000130D9">
        <w:rPr>
          <w:rFonts w:ascii="Times New Roman" w:hAnsi="Times New Roman" w:cs="Times New Roman"/>
          <w:sz w:val="24"/>
          <w:szCs w:val="24"/>
          <w:lang w:val="hr-HR"/>
        </w:rPr>
        <w:t xml:space="preserve">kapaciteta </w:t>
      </w:r>
      <w:r w:rsidR="00F30DF8" w:rsidRPr="000130D9">
        <w:rPr>
          <w:rFonts w:ascii="Times New Roman" w:hAnsi="Times New Roman" w:cs="Times New Roman"/>
          <w:sz w:val="24"/>
          <w:szCs w:val="24"/>
          <w:lang w:val="hr-HR"/>
        </w:rPr>
        <w:t>predmetnog subjekta</w:t>
      </w:r>
      <w:r w:rsidR="007917C8" w:rsidRPr="000130D9">
        <w:rPr>
          <w:rFonts w:ascii="Times New Roman" w:hAnsi="Times New Roman" w:cs="Times New Roman"/>
          <w:sz w:val="24"/>
          <w:szCs w:val="24"/>
          <w:lang w:val="hr-HR"/>
        </w:rPr>
        <w:t>.</w:t>
      </w:r>
      <w:r w:rsidR="00D64EDF" w:rsidRPr="000130D9">
        <w:rPr>
          <w:rFonts w:ascii="Times New Roman" w:hAnsi="Times New Roman" w:cs="Times New Roman"/>
          <w:sz w:val="24"/>
          <w:szCs w:val="24"/>
          <w:lang w:val="hr-HR" w:bidi="hr-HR"/>
        </w:rPr>
        <w:t xml:space="preserve"> </w:t>
      </w:r>
      <w:r w:rsidR="00280091" w:rsidRPr="000130D9">
        <w:rPr>
          <w:rFonts w:ascii="Times New Roman" w:hAnsi="Times New Roman" w:cs="Times New Roman"/>
          <w:sz w:val="24"/>
          <w:szCs w:val="24"/>
          <w:lang w:val="hr-HR"/>
        </w:rPr>
        <w:t xml:space="preserve">Izvještajno razdoblje počinje teći danom kad </w:t>
      </w:r>
      <w:r w:rsidR="0023739D" w:rsidRPr="000130D9">
        <w:rPr>
          <w:rFonts w:ascii="Times New Roman" w:hAnsi="Times New Roman" w:cs="Times New Roman"/>
          <w:sz w:val="24"/>
          <w:szCs w:val="24"/>
          <w:lang w:val="hr-HR"/>
        </w:rPr>
        <w:t>završi provedba projekta i traje do isteka roka za amortizaciju novonabavljene opreme.</w:t>
      </w:r>
      <w:r w:rsidR="00737EE9">
        <w:rPr>
          <w:rFonts w:ascii="Times New Roman" w:hAnsi="Times New Roman" w:cs="Times New Roman"/>
          <w:sz w:val="24"/>
          <w:szCs w:val="24"/>
          <w:lang w:val="hr-HR"/>
        </w:rPr>
        <w:t xml:space="preserve"> </w:t>
      </w:r>
      <w:r w:rsidR="0023739D" w:rsidRPr="000130D9">
        <w:rPr>
          <w:rFonts w:ascii="Times New Roman" w:hAnsi="Times New Roman" w:cs="Times New Roman"/>
          <w:sz w:val="24"/>
          <w:szCs w:val="24"/>
          <w:lang w:val="hr-HR"/>
        </w:rPr>
        <w:t xml:space="preserve"> </w:t>
      </w:r>
      <w:r w:rsidR="00737EE9">
        <w:rPr>
          <w:rFonts w:ascii="Times New Roman" w:hAnsi="Times New Roman" w:cs="Times New Roman"/>
          <w:sz w:val="24"/>
          <w:szCs w:val="24"/>
          <w:lang w:val="hr-HR"/>
        </w:rPr>
        <w:t>Amortizacijski r</w:t>
      </w:r>
      <w:r w:rsidR="00737EE9" w:rsidRPr="00737EE9">
        <w:rPr>
          <w:rFonts w:ascii="Times New Roman" w:hAnsi="Times New Roman" w:cs="Times New Roman"/>
          <w:sz w:val="24"/>
          <w:szCs w:val="24"/>
          <w:lang w:val="hr-HR"/>
        </w:rPr>
        <w:t>ok traje dok se ne otpiše i zadnji komad novonabavljene opreme</w:t>
      </w:r>
      <w:r w:rsidR="00737EE9">
        <w:rPr>
          <w:rFonts w:ascii="Times New Roman" w:hAnsi="Times New Roman" w:cs="Times New Roman"/>
          <w:sz w:val="24"/>
          <w:szCs w:val="24"/>
          <w:lang w:val="hr-HR"/>
        </w:rPr>
        <w:t xml:space="preserve">. </w:t>
      </w:r>
      <w:r w:rsidR="009162D7" w:rsidRPr="000130D9">
        <w:rPr>
          <w:rFonts w:ascii="Times New Roman" w:hAnsi="Times New Roman" w:cs="Times New Roman"/>
          <w:sz w:val="24"/>
          <w:szCs w:val="24"/>
          <w:lang w:val="hr-HR"/>
        </w:rPr>
        <w:t>Izvješće se dostavlja jednom godišnje nakon završetka provedbe projekta</w:t>
      </w:r>
      <w:r w:rsidR="0023739D" w:rsidRPr="000130D9">
        <w:rPr>
          <w:rFonts w:ascii="Times New Roman" w:hAnsi="Times New Roman" w:cs="Times New Roman"/>
          <w:sz w:val="24"/>
          <w:szCs w:val="24"/>
          <w:lang w:val="hr-HR"/>
        </w:rPr>
        <w:t>.</w:t>
      </w:r>
      <w:r w:rsidR="009162D7" w:rsidRPr="000130D9">
        <w:rPr>
          <w:rFonts w:ascii="Times New Roman" w:hAnsi="Times New Roman" w:cs="Times New Roman"/>
          <w:sz w:val="24"/>
          <w:szCs w:val="24"/>
          <w:lang w:val="hr-HR"/>
        </w:rPr>
        <w:t xml:space="preserve"> </w:t>
      </w:r>
    </w:p>
    <w:p w14:paraId="4BEA0DE1" w14:textId="77777777" w:rsidR="00DE630E" w:rsidRPr="002B57F9" w:rsidRDefault="00DE630E" w:rsidP="00742B46">
      <w:pPr>
        <w:spacing w:after="0"/>
        <w:jc w:val="both"/>
        <w:rPr>
          <w:rFonts w:ascii="Times New Roman" w:hAnsi="Times New Roman" w:cs="Times New Roman"/>
          <w:sz w:val="18"/>
          <w:szCs w:val="24"/>
          <w:lang w:val="hr-HR"/>
        </w:rPr>
      </w:pPr>
    </w:p>
    <w:p w14:paraId="6D235EA8" w14:textId="77777777" w:rsidR="003C3396" w:rsidRPr="000130D9" w:rsidRDefault="000C1ABB" w:rsidP="00742B46">
      <w:pPr>
        <w:pStyle w:val="ListParagraph"/>
        <w:spacing w:after="0"/>
        <w:ind w:left="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Ukoliko dođe do toga da </w:t>
      </w:r>
      <w:r w:rsidR="00641F26" w:rsidRPr="000130D9">
        <w:rPr>
          <w:rFonts w:ascii="Times New Roman" w:hAnsi="Times New Roman" w:cs="Times New Roman"/>
          <w:sz w:val="24"/>
          <w:szCs w:val="24"/>
          <w:lang w:val="hr-HR"/>
        </w:rPr>
        <w:t>k</w:t>
      </w:r>
      <w:r w:rsidRPr="000130D9">
        <w:rPr>
          <w:rFonts w:ascii="Times New Roman" w:hAnsi="Times New Roman" w:cs="Times New Roman"/>
          <w:sz w:val="24"/>
          <w:szCs w:val="24"/>
          <w:lang w:val="hr-HR"/>
        </w:rPr>
        <w:t>orisnik</w:t>
      </w:r>
      <w:r w:rsidR="005C22DB" w:rsidRPr="000130D9">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više od 20% kapaciteta</w:t>
      </w:r>
      <w:r w:rsidR="004554A6" w:rsidRPr="000130D9">
        <w:rPr>
          <w:rFonts w:ascii="Times New Roman" w:hAnsi="Times New Roman" w:cs="Times New Roman"/>
          <w:sz w:val="24"/>
          <w:szCs w:val="24"/>
          <w:lang w:val="hr-HR"/>
        </w:rPr>
        <w:t xml:space="preserve"> </w:t>
      </w:r>
      <w:r w:rsidR="00F30DF8" w:rsidRPr="000130D9">
        <w:rPr>
          <w:rFonts w:ascii="Times New Roman" w:hAnsi="Times New Roman" w:cs="Times New Roman"/>
          <w:sz w:val="24"/>
          <w:szCs w:val="24"/>
          <w:lang w:val="hr-HR"/>
        </w:rPr>
        <w:t>predmetnog subjekta</w:t>
      </w:r>
      <w:r w:rsidR="00500C5A" w:rsidRPr="000130D9">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godišnje iskoristi za ekonomske aktivnosti, mora doći do povrata dijela sredstava</w:t>
      </w:r>
      <w:r w:rsidR="005C22DB" w:rsidRPr="000130D9">
        <w:rPr>
          <w:rFonts w:ascii="Times New Roman" w:hAnsi="Times New Roman" w:cs="Times New Roman"/>
          <w:i/>
          <w:sz w:val="24"/>
          <w:szCs w:val="24"/>
          <w:lang w:val="hr-HR" w:bidi="hr-HR"/>
        </w:rPr>
        <w:t xml:space="preserve"> </w:t>
      </w:r>
      <w:r w:rsidR="005C22DB" w:rsidRPr="000130D9">
        <w:rPr>
          <w:rFonts w:ascii="Times New Roman" w:hAnsi="Times New Roman" w:cs="Times New Roman"/>
          <w:sz w:val="24"/>
          <w:szCs w:val="24"/>
          <w:lang w:val="hr-HR" w:bidi="hr-HR"/>
        </w:rPr>
        <w:t>u iznosu koji je sukladan omjeru tih ekonomskih aktivnosti</w:t>
      </w:r>
      <w:r w:rsidRPr="000130D9">
        <w:rPr>
          <w:rFonts w:ascii="Times New Roman" w:hAnsi="Times New Roman" w:cs="Times New Roman"/>
          <w:sz w:val="24"/>
          <w:szCs w:val="24"/>
          <w:lang w:val="hr-HR"/>
        </w:rPr>
        <w:t>.</w:t>
      </w:r>
      <w:r w:rsidR="004554A6" w:rsidRPr="000130D9">
        <w:rPr>
          <w:rFonts w:ascii="Times New Roman" w:hAnsi="Times New Roman" w:cs="Times New Roman"/>
          <w:sz w:val="24"/>
          <w:szCs w:val="24"/>
          <w:lang w:val="hr-HR"/>
        </w:rPr>
        <w:t xml:space="preserve"> </w:t>
      </w:r>
    </w:p>
    <w:p w14:paraId="00F33EC8" w14:textId="77777777" w:rsidR="009D0FBF" w:rsidRPr="002B57F9" w:rsidRDefault="009D0FBF" w:rsidP="00742B46">
      <w:pPr>
        <w:pStyle w:val="ListParagraph"/>
        <w:spacing w:after="0"/>
        <w:ind w:left="0"/>
        <w:jc w:val="both"/>
        <w:rPr>
          <w:rFonts w:ascii="Times New Roman" w:hAnsi="Times New Roman" w:cs="Times New Roman"/>
          <w:sz w:val="18"/>
          <w:szCs w:val="24"/>
          <w:lang w:val="hr-HR"/>
        </w:rPr>
      </w:pPr>
    </w:p>
    <w:p w14:paraId="0EBC39EE" w14:textId="64B102B6" w:rsidR="00474D97" w:rsidRDefault="002B57F9" w:rsidP="00742B46">
      <w:pPr>
        <w:pStyle w:val="ListParagraph"/>
        <w:spacing w:after="0"/>
        <w:ind w:left="0"/>
        <w:jc w:val="both"/>
        <w:rPr>
          <w:rFonts w:ascii="Times New Roman" w:hAnsi="Times New Roman" w:cs="Times New Roman"/>
          <w:sz w:val="24"/>
          <w:szCs w:val="24"/>
          <w:lang w:val="hr-HR"/>
        </w:rPr>
      </w:pPr>
      <w:r w:rsidRPr="00BC4D18">
        <w:rPr>
          <w:rFonts w:ascii="Times New Roman" w:hAnsi="Times New Roman" w:cs="Times New Roman"/>
          <w:sz w:val="24"/>
          <w:szCs w:val="24"/>
          <w:lang w:val="hr-HR"/>
        </w:rPr>
        <w:t>U slučaju da je istraživačka</w:t>
      </w:r>
      <w:r w:rsidR="004554A6" w:rsidRPr="00BC4D18">
        <w:rPr>
          <w:rFonts w:ascii="Times New Roman" w:hAnsi="Times New Roman" w:cs="Times New Roman"/>
          <w:sz w:val="24"/>
          <w:szCs w:val="24"/>
          <w:lang w:val="hr-HR"/>
        </w:rPr>
        <w:t xml:space="preserve"> organizacija kroz više ugovora</w:t>
      </w:r>
      <w:r w:rsidR="003C3396" w:rsidRPr="00BC4D18">
        <w:rPr>
          <w:rFonts w:ascii="Times New Roman" w:hAnsi="Times New Roman" w:cs="Times New Roman"/>
          <w:sz w:val="24"/>
          <w:szCs w:val="24"/>
          <w:lang w:val="hr-HR"/>
        </w:rPr>
        <w:t xml:space="preserve"> u okviru ovog P</w:t>
      </w:r>
      <w:r w:rsidR="006E6CB2" w:rsidRPr="00BC4D18">
        <w:rPr>
          <w:rFonts w:ascii="Times New Roman" w:hAnsi="Times New Roman" w:cs="Times New Roman"/>
          <w:sz w:val="24"/>
          <w:szCs w:val="24"/>
          <w:lang w:val="hr-HR"/>
        </w:rPr>
        <w:t>oziva</w:t>
      </w:r>
      <w:r w:rsidR="004554A6" w:rsidRPr="00BC4D18">
        <w:rPr>
          <w:rFonts w:ascii="Times New Roman" w:hAnsi="Times New Roman" w:cs="Times New Roman"/>
          <w:sz w:val="24"/>
          <w:szCs w:val="24"/>
          <w:lang w:val="hr-HR"/>
        </w:rPr>
        <w:t xml:space="preserve"> (</w:t>
      </w:r>
      <w:r w:rsidR="00057951">
        <w:rPr>
          <w:rFonts w:ascii="Times New Roman" w:hAnsi="Times New Roman" w:cs="Times New Roman"/>
          <w:sz w:val="24"/>
          <w:szCs w:val="24"/>
          <w:lang w:val="hr-HR"/>
        </w:rPr>
        <w:t xml:space="preserve">poglavlje </w:t>
      </w:r>
      <w:r w:rsidR="004554A6" w:rsidRPr="00BC4D18">
        <w:rPr>
          <w:rFonts w:ascii="Times New Roman" w:hAnsi="Times New Roman" w:cs="Times New Roman"/>
          <w:sz w:val="24"/>
          <w:szCs w:val="24"/>
          <w:lang w:val="hr-HR"/>
        </w:rPr>
        <w:t>2.4. Uputa)</w:t>
      </w:r>
      <w:r w:rsidR="006E6CB2" w:rsidRPr="00BC4D18">
        <w:rPr>
          <w:rFonts w:ascii="Times New Roman" w:hAnsi="Times New Roman" w:cs="Times New Roman"/>
          <w:sz w:val="24"/>
          <w:szCs w:val="24"/>
          <w:lang w:val="hr-HR"/>
        </w:rPr>
        <w:t xml:space="preserve"> opremila</w:t>
      </w:r>
      <w:r w:rsidR="006E6CB2" w:rsidRPr="000130D9">
        <w:rPr>
          <w:rFonts w:ascii="Times New Roman" w:hAnsi="Times New Roman" w:cs="Times New Roman"/>
          <w:sz w:val="24"/>
          <w:szCs w:val="24"/>
          <w:lang w:val="hr-HR"/>
        </w:rPr>
        <w:t xml:space="preserve"> ist</w:t>
      </w:r>
      <w:r w:rsidR="00F30DF8" w:rsidRPr="000130D9">
        <w:rPr>
          <w:rFonts w:ascii="Times New Roman" w:hAnsi="Times New Roman" w:cs="Times New Roman"/>
          <w:sz w:val="24"/>
          <w:szCs w:val="24"/>
          <w:lang w:val="hr-HR"/>
        </w:rPr>
        <w:t xml:space="preserve">i </w:t>
      </w:r>
      <w:r w:rsidR="00BC4D18">
        <w:rPr>
          <w:rFonts w:ascii="Times New Roman" w:hAnsi="Times New Roman" w:cs="Times New Roman"/>
          <w:sz w:val="24"/>
          <w:szCs w:val="24"/>
          <w:lang w:val="hr-HR"/>
        </w:rPr>
        <w:t xml:space="preserve">predmetni </w:t>
      </w:r>
      <w:r w:rsidR="00F30DF8" w:rsidRPr="000130D9">
        <w:rPr>
          <w:rFonts w:ascii="Times New Roman" w:hAnsi="Times New Roman" w:cs="Times New Roman"/>
          <w:sz w:val="24"/>
          <w:szCs w:val="24"/>
          <w:lang w:val="hr-HR"/>
        </w:rPr>
        <w:t>subjekt</w:t>
      </w:r>
      <w:r w:rsidR="00BC4D18">
        <w:rPr>
          <w:rFonts w:ascii="Times New Roman" w:hAnsi="Times New Roman" w:cs="Times New Roman"/>
          <w:sz w:val="24"/>
          <w:szCs w:val="24"/>
          <w:lang w:val="hr-HR"/>
        </w:rPr>
        <w:t>,</w:t>
      </w:r>
      <w:r w:rsidR="006E6CB2" w:rsidRPr="000130D9">
        <w:rPr>
          <w:rFonts w:ascii="Times New Roman" w:hAnsi="Times New Roman" w:cs="Times New Roman"/>
          <w:sz w:val="24"/>
          <w:szCs w:val="24"/>
          <w:lang w:val="hr-HR"/>
        </w:rPr>
        <w:t xml:space="preserve"> napominjemo da će se i u tom slučaju gledati </w:t>
      </w:r>
      <w:r w:rsidR="00F30DF8" w:rsidRPr="000130D9">
        <w:rPr>
          <w:rFonts w:ascii="Times New Roman" w:hAnsi="Times New Roman" w:cs="Times New Roman"/>
          <w:sz w:val="24"/>
          <w:szCs w:val="24"/>
          <w:lang w:val="hr-HR"/>
        </w:rPr>
        <w:t xml:space="preserve">ukupni </w:t>
      </w:r>
      <w:r w:rsidR="006E6CB2" w:rsidRPr="000130D9">
        <w:rPr>
          <w:rFonts w:ascii="Times New Roman" w:hAnsi="Times New Roman" w:cs="Times New Roman"/>
          <w:sz w:val="24"/>
          <w:szCs w:val="24"/>
          <w:lang w:val="hr-HR"/>
        </w:rPr>
        <w:t xml:space="preserve">kapacitet </w:t>
      </w:r>
      <w:r w:rsidR="00F30DF8" w:rsidRPr="000130D9">
        <w:rPr>
          <w:rFonts w:ascii="Times New Roman" w:hAnsi="Times New Roman" w:cs="Times New Roman"/>
          <w:sz w:val="24"/>
          <w:szCs w:val="24"/>
          <w:lang w:val="hr-HR"/>
        </w:rPr>
        <w:t>subjekta</w:t>
      </w:r>
      <w:r w:rsidR="006E6CB2" w:rsidRPr="000130D9">
        <w:rPr>
          <w:rFonts w:ascii="Times New Roman" w:hAnsi="Times New Roman" w:cs="Times New Roman"/>
          <w:sz w:val="24"/>
          <w:szCs w:val="24"/>
          <w:lang w:val="hr-HR"/>
        </w:rPr>
        <w:t xml:space="preserve">, i da ne smije premašiti 20% </w:t>
      </w:r>
      <w:r w:rsidR="003C38B0" w:rsidRPr="000130D9">
        <w:rPr>
          <w:rFonts w:ascii="Times New Roman" w:hAnsi="Times New Roman" w:cs="Times New Roman"/>
          <w:sz w:val="24"/>
          <w:szCs w:val="24"/>
          <w:lang w:val="hr-HR"/>
        </w:rPr>
        <w:t xml:space="preserve">kapaciteta </w:t>
      </w:r>
      <w:r w:rsidR="006E6CB2" w:rsidRPr="000130D9">
        <w:rPr>
          <w:rFonts w:ascii="Times New Roman" w:hAnsi="Times New Roman" w:cs="Times New Roman"/>
          <w:sz w:val="24"/>
          <w:szCs w:val="24"/>
          <w:lang w:val="hr-HR"/>
        </w:rPr>
        <w:t>za ekonomske djelatnosti kako ne bi došlo do povrata sredstava.</w:t>
      </w:r>
    </w:p>
    <w:p w14:paraId="2D9883E5" w14:textId="77777777" w:rsidR="00B53249" w:rsidRDefault="00B53249" w:rsidP="00742B46">
      <w:pPr>
        <w:pStyle w:val="ListParagraph"/>
        <w:spacing w:after="0"/>
        <w:ind w:left="0"/>
        <w:jc w:val="both"/>
        <w:rPr>
          <w:rFonts w:ascii="Times New Roman" w:hAnsi="Times New Roman" w:cs="Times New Roman"/>
          <w:sz w:val="24"/>
          <w:szCs w:val="24"/>
          <w:lang w:val="hr-HR"/>
        </w:rPr>
      </w:pPr>
    </w:p>
    <w:p w14:paraId="69C49789" w14:textId="77777777" w:rsidR="005C22DB" w:rsidRPr="000130D9" w:rsidRDefault="00C923BC" w:rsidP="00742B46">
      <w:pPr>
        <w:spacing w:after="12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P</w:t>
      </w:r>
      <w:r w:rsidR="005C22DB" w:rsidRPr="000130D9">
        <w:rPr>
          <w:rFonts w:ascii="Times New Roman" w:hAnsi="Times New Roman" w:cs="Times New Roman"/>
          <w:sz w:val="24"/>
          <w:szCs w:val="24"/>
          <w:lang w:val="hr-HR"/>
        </w:rPr>
        <w:t xml:space="preserve">rimjer </w:t>
      </w:r>
      <w:r w:rsidR="006346DE" w:rsidRPr="000130D9">
        <w:rPr>
          <w:rFonts w:ascii="Times New Roman" w:hAnsi="Times New Roman" w:cs="Times New Roman"/>
          <w:sz w:val="24"/>
          <w:szCs w:val="24"/>
          <w:lang w:val="hr-HR"/>
        </w:rPr>
        <w:t>izračuna iznosa</w:t>
      </w:r>
      <w:r w:rsidR="005C22DB" w:rsidRPr="000130D9">
        <w:rPr>
          <w:rFonts w:ascii="Times New Roman" w:hAnsi="Times New Roman" w:cs="Times New Roman"/>
          <w:sz w:val="24"/>
          <w:szCs w:val="24"/>
          <w:lang w:val="hr-HR"/>
        </w:rPr>
        <w:t xml:space="preserve"> za povrat sredstava je sljedeći:</w:t>
      </w:r>
    </w:p>
    <w:p w14:paraId="4673D0D2" w14:textId="74FEF7B9" w:rsidR="00C923BC" w:rsidRPr="00B53249" w:rsidRDefault="002E2D6F" w:rsidP="00742B46">
      <w:pPr>
        <w:pStyle w:val="ListParagraph"/>
        <w:spacing w:after="0"/>
        <w:jc w:val="both"/>
        <w:rPr>
          <w:rFonts w:ascii="Times New Roman" w:hAnsi="Times New Roman" w:cs="Times New Roman"/>
          <w:i/>
          <w:sz w:val="24"/>
          <w:szCs w:val="24"/>
          <w:lang w:val="hr-HR" w:bidi="hr-HR"/>
        </w:rPr>
      </w:pPr>
      <w:r>
        <w:rPr>
          <w:rFonts w:ascii="Times New Roman" w:hAnsi="Times New Roman" w:cs="Times New Roman"/>
          <w:i/>
          <w:sz w:val="24"/>
          <w:szCs w:val="24"/>
          <w:lang w:val="hr-HR" w:bidi="hr-HR"/>
        </w:rPr>
        <w:t>U</w:t>
      </w:r>
      <w:r w:rsidR="00C923BC" w:rsidRPr="000130D9">
        <w:rPr>
          <w:rFonts w:ascii="Times New Roman" w:hAnsi="Times New Roman" w:cs="Times New Roman"/>
          <w:i/>
          <w:sz w:val="24"/>
          <w:szCs w:val="24"/>
          <w:lang w:val="hr-HR" w:bidi="hr-HR"/>
        </w:rPr>
        <w:t xml:space="preserve">koliko je korisnik </w:t>
      </w:r>
      <w:r w:rsidR="001D01E0" w:rsidRPr="000130D9">
        <w:rPr>
          <w:rFonts w:ascii="Times New Roman" w:hAnsi="Times New Roman" w:cs="Times New Roman"/>
          <w:i/>
          <w:sz w:val="24"/>
          <w:szCs w:val="24"/>
          <w:lang w:val="hr-HR" w:bidi="hr-HR"/>
        </w:rPr>
        <w:t>nabavio opremu u v</w:t>
      </w:r>
      <w:r w:rsidR="009D0FBF" w:rsidRPr="000130D9">
        <w:rPr>
          <w:rFonts w:ascii="Times New Roman" w:hAnsi="Times New Roman" w:cs="Times New Roman"/>
          <w:i/>
          <w:sz w:val="24"/>
          <w:szCs w:val="24"/>
          <w:lang w:val="hr-HR" w:bidi="hr-HR"/>
        </w:rPr>
        <w:t>rijednosti</w:t>
      </w:r>
      <w:r w:rsidR="00C923BC" w:rsidRPr="000130D9">
        <w:rPr>
          <w:rFonts w:ascii="Times New Roman" w:hAnsi="Times New Roman" w:cs="Times New Roman"/>
          <w:i/>
          <w:sz w:val="24"/>
          <w:szCs w:val="24"/>
          <w:lang w:val="hr-HR" w:bidi="hr-HR"/>
        </w:rPr>
        <w:t xml:space="preserve"> </w:t>
      </w:r>
      <w:r w:rsidR="00DC5E39">
        <w:rPr>
          <w:rFonts w:ascii="Times New Roman" w:hAnsi="Times New Roman" w:cs="Times New Roman"/>
          <w:i/>
          <w:sz w:val="24"/>
          <w:szCs w:val="24"/>
          <w:lang w:val="hr-HR" w:bidi="hr-HR"/>
        </w:rPr>
        <w:t>32</w:t>
      </w:r>
      <w:r w:rsidR="00483BCA">
        <w:rPr>
          <w:rFonts w:ascii="Times New Roman" w:hAnsi="Times New Roman" w:cs="Times New Roman"/>
          <w:i/>
          <w:sz w:val="24"/>
          <w:szCs w:val="24"/>
          <w:lang w:val="hr-HR" w:bidi="hr-HR"/>
        </w:rPr>
        <w:t>.000,00 eura</w:t>
      </w:r>
      <w:r w:rsidR="00C923BC" w:rsidRPr="000130D9">
        <w:rPr>
          <w:rFonts w:ascii="Times New Roman" w:hAnsi="Times New Roman" w:cs="Times New Roman"/>
          <w:i/>
          <w:sz w:val="24"/>
          <w:szCs w:val="24"/>
          <w:lang w:val="hr-HR" w:bidi="hr-HR"/>
        </w:rPr>
        <w:t>, a amortizacijski period nabavljene opreme traje 8 godina (npr. metoda linearne amortizacije)</w:t>
      </w:r>
      <w:r>
        <w:rPr>
          <w:rFonts w:ascii="Times New Roman" w:hAnsi="Times New Roman" w:cs="Times New Roman"/>
          <w:i/>
          <w:sz w:val="24"/>
          <w:szCs w:val="24"/>
          <w:lang w:val="hr-HR" w:bidi="hr-HR"/>
        </w:rPr>
        <w:t>,</w:t>
      </w:r>
      <w:r w:rsidR="00C923BC" w:rsidRPr="000130D9">
        <w:rPr>
          <w:rFonts w:ascii="Times New Roman" w:hAnsi="Times New Roman" w:cs="Times New Roman"/>
          <w:i/>
          <w:sz w:val="24"/>
          <w:szCs w:val="24"/>
          <w:lang w:val="hr-HR" w:bidi="hr-HR"/>
        </w:rPr>
        <w:t xml:space="preserve"> znači da je iznos amortizacije za svaku godinu </w:t>
      </w:r>
      <w:r w:rsidR="00DC5E39">
        <w:rPr>
          <w:rFonts w:ascii="Times New Roman" w:hAnsi="Times New Roman" w:cs="Times New Roman"/>
          <w:i/>
          <w:sz w:val="24"/>
          <w:szCs w:val="24"/>
          <w:lang w:val="hr-HR" w:bidi="hr-HR"/>
        </w:rPr>
        <w:t>4.000</w:t>
      </w:r>
      <w:r w:rsidR="00483BCA">
        <w:rPr>
          <w:rFonts w:ascii="Times New Roman" w:hAnsi="Times New Roman" w:cs="Times New Roman"/>
          <w:i/>
          <w:sz w:val="24"/>
          <w:szCs w:val="24"/>
          <w:lang w:val="hr-HR" w:bidi="hr-HR"/>
        </w:rPr>
        <w:t>,00 eura</w:t>
      </w:r>
      <w:r w:rsidR="00DA73AF" w:rsidRPr="000130D9">
        <w:rPr>
          <w:rFonts w:ascii="Times New Roman" w:hAnsi="Times New Roman" w:cs="Times New Roman"/>
          <w:i/>
          <w:sz w:val="24"/>
          <w:szCs w:val="24"/>
          <w:lang w:val="hr-HR" w:bidi="hr-HR"/>
        </w:rPr>
        <w:t xml:space="preserve">. </w:t>
      </w:r>
      <w:r w:rsidR="001D01E0" w:rsidRPr="000130D9">
        <w:rPr>
          <w:rFonts w:ascii="Times New Roman" w:hAnsi="Times New Roman" w:cs="Times New Roman"/>
          <w:i/>
          <w:sz w:val="24"/>
          <w:szCs w:val="24"/>
          <w:lang w:val="hr-HR" w:bidi="hr-HR"/>
        </w:rPr>
        <w:t xml:space="preserve">Ako u nekoj od 8 godina </w:t>
      </w:r>
      <w:r w:rsidR="00DA73AF" w:rsidRPr="000130D9">
        <w:rPr>
          <w:rFonts w:ascii="Times New Roman" w:hAnsi="Times New Roman" w:cs="Times New Roman"/>
          <w:i/>
          <w:sz w:val="24"/>
          <w:szCs w:val="24"/>
          <w:lang w:val="hr-HR" w:bidi="hr-HR"/>
        </w:rPr>
        <w:t xml:space="preserve">predmetni subjekt </w:t>
      </w:r>
      <w:r w:rsidR="00C923BC" w:rsidRPr="000130D9">
        <w:rPr>
          <w:rFonts w:ascii="Times New Roman" w:hAnsi="Times New Roman" w:cs="Times New Roman"/>
          <w:i/>
          <w:sz w:val="24"/>
          <w:szCs w:val="24"/>
          <w:lang w:val="hr-HR" w:bidi="hr-HR"/>
        </w:rPr>
        <w:t>ima 25% ekonomskih aktivnosti</w:t>
      </w:r>
      <w:r w:rsidR="001D01E0" w:rsidRPr="000130D9">
        <w:rPr>
          <w:rFonts w:ascii="Times New Roman" w:hAnsi="Times New Roman" w:cs="Times New Roman"/>
          <w:i/>
          <w:sz w:val="24"/>
          <w:szCs w:val="24"/>
          <w:lang w:val="hr-HR" w:bidi="hr-HR"/>
        </w:rPr>
        <w:t>,</w:t>
      </w:r>
      <w:r w:rsidR="00C923BC" w:rsidRPr="000130D9">
        <w:rPr>
          <w:rFonts w:ascii="Times New Roman" w:hAnsi="Times New Roman" w:cs="Times New Roman"/>
          <w:i/>
          <w:sz w:val="24"/>
          <w:szCs w:val="24"/>
          <w:lang w:val="hr-HR" w:bidi="hr-HR"/>
        </w:rPr>
        <w:t xml:space="preserve"> mora vratiti 25% od </w:t>
      </w:r>
      <w:r w:rsidR="00DC5E39">
        <w:rPr>
          <w:rFonts w:ascii="Times New Roman" w:hAnsi="Times New Roman" w:cs="Times New Roman"/>
          <w:i/>
          <w:sz w:val="24"/>
          <w:szCs w:val="24"/>
          <w:lang w:val="hr-HR" w:bidi="hr-HR"/>
        </w:rPr>
        <w:t>4.000,00 eura</w:t>
      </w:r>
      <w:r w:rsidR="001D01E0" w:rsidRPr="000130D9">
        <w:rPr>
          <w:rFonts w:ascii="Times New Roman" w:hAnsi="Times New Roman" w:cs="Times New Roman"/>
          <w:i/>
          <w:sz w:val="24"/>
          <w:szCs w:val="24"/>
          <w:lang w:val="hr-HR" w:bidi="hr-HR"/>
        </w:rPr>
        <w:t>,</w:t>
      </w:r>
      <w:r w:rsidR="00C923BC" w:rsidRPr="000130D9">
        <w:rPr>
          <w:rFonts w:ascii="Times New Roman" w:hAnsi="Times New Roman" w:cs="Times New Roman"/>
          <w:i/>
          <w:sz w:val="24"/>
          <w:szCs w:val="24"/>
          <w:lang w:val="hr-HR" w:bidi="hr-HR"/>
        </w:rPr>
        <w:t xml:space="preserve"> jer se </w:t>
      </w:r>
      <w:r w:rsidR="00DA73AF" w:rsidRPr="000130D9">
        <w:rPr>
          <w:rFonts w:ascii="Times New Roman" w:hAnsi="Times New Roman" w:cs="Times New Roman"/>
          <w:i/>
          <w:sz w:val="24"/>
          <w:szCs w:val="24"/>
          <w:lang w:val="hr-HR" w:bidi="hr-HR"/>
        </w:rPr>
        <w:t>svih</w:t>
      </w:r>
      <w:r w:rsidR="00C923BC" w:rsidRPr="000130D9">
        <w:rPr>
          <w:rFonts w:ascii="Times New Roman" w:hAnsi="Times New Roman" w:cs="Times New Roman"/>
          <w:i/>
          <w:sz w:val="24"/>
          <w:szCs w:val="24"/>
          <w:lang w:val="hr-HR" w:bidi="hr-HR"/>
        </w:rPr>
        <w:t xml:space="preserve"> 25% smatra ekonomskom aktivnošću koja nije dopuštena</w:t>
      </w:r>
      <w:r w:rsidR="00DA73AF" w:rsidRPr="000130D9">
        <w:rPr>
          <w:rFonts w:ascii="Times New Roman" w:hAnsi="Times New Roman" w:cs="Times New Roman"/>
          <w:i/>
          <w:sz w:val="24"/>
          <w:szCs w:val="24"/>
          <w:lang w:val="hr-HR" w:bidi="hr-HR"/>
        </w:rPr>
        <w:t>, bez obzira na odredbu o 20% pomoćnih ekonomskih djelatnosti</w:t>
      </w:r>
      <w:r w:rsidR="00C923BC" w:rsidRPr="000130D9">
        <w:rPr>
          <w:rFonts w:ascii="Times New Roman" w:hAnsi="Times New Roman" w:cs="Times New Roman"/>
          <w:i/>
          <w:sz w:val="24"/>
          <w:szCs w:val="24"/>
          <w:lang w:val="hr-HR" w:bidi="hr-HR"/>
        </w:rPr>
        <w:t>.</w:t>
      </w:r>
    </w:p>
    <w:p w14:paraId="63DCE6C4" w14:textId="77777777" w:rsidR="00CF0F44" w:rsidRPr="000130D9" w:rsidRDefault="00CF0F44" w:rsidP="00742B46">
      <w:pPr>
        <w:pStyle w:val="ListParagraph"/>
        <w:spacing w:after="0"/>
        <w:jc w:val="both"/>
        <w:rPr>
          <w:rFonts w:ascii="Times New Roman" w:hAnsi="Times New Roman" w:cs="Times New Roman"/>
          <w:i/>
          <w:sz w:val="24"/>
          <w:szCs w:val="24"/>
          <w:lang w:val="hr-HR" w:bidi="hr-HR"/>
        </w:rPr>
      </w:pPr>
    </w:p>
    <w:p w14:paraId="641EE8DF" w14:textId="77777777" w:rsidR="00B65D21" w:rsidRDefault="00B65D21" w:rsidP="00742B46">
      <w:pPr>
        <w:pStyle w:val="ListParagraph"/>
        <w:spacing w:after="0"/>
        <w:ind w:left="0"/>
        <w:jc w:val="both"/>
        <w:rPr>
          <w:rFonts w:ascii="Times New Roman" w:hAnsi="Times New Roman" w:cs="Times New Roman"/>
          <w:sz w:val="24"/>
          <w:szCs w:val="24"/>
          <w:u w:val="single"/>
          <w:lang w:val="hr-HR" w:bidi="hr-HR"/>
        </w:rPr>
      </w:pPr>
      <w:r w:rsidRPr="000130D9">
        <w:rPr>
          <w:rFonts w:ascii="Times New Roman" w:hAnsi="Times New Roman" w:cs="Times New Roman"/>
          <w:sz w:val="24"/>
          <w:szCs w:val="24"/>
          <w:u w:val="single"/>
          <w:lang w:val="hr-HR" w:bidi="hr-HR"/>
        </w:rPr>
        <w:t>Financijski izvještaji</w:t>
      </w:r>
    </w:p>
    <w:p w14:paraId="1EF45945" w14:textId="77777777" w:rsidR="00EF041E" w:rsidRPr="00EF041E" w:rsidRDefault="00EF041E" w:rsidP="00742B46">
      <w:pPr>
        <w:pStyle w:val="ListParagraph"/>
        <w:spacing w:after="0"/>
        <w:ind w:left="0"/>
        <w:jc w:val="both"/>
        <w:rPr>
          <w:rFonts w:ascii="Times New Roman" w:hAnsi="Times New Roman" w:cs="Times New Roman"/>
          <w:sz w:val="14"/>
          <w:szCs w:val="24"/>
          <w:u w:val="single"/>
          <w:lang w:val="hr-HR" w:bidi="hr-HR"/>
        </w:rPr>
      </w:pPr>
    </w:p>
    <w:p w14:paraId="0178A07F" w14:textId="68B0CBBA" w:rsidR="003920D6" w:rsidRDefault="007F1D63" w:rsidP="00742B46">
      <w:pPr>
        <w:pStyle w:val="ListParagraph"/>
        <w:spacing w:after="0"/>
        <w:ind w:left="0"/>
        <w:jc w:val="both"/>
        <w:rPr>
          <w:rFonts w:ascii="Times New Roman" w:hAnsi="Times New Roman" w:cs="Times New Roman"/>
          <w:sz w:val="24"/>
          <w:szCs w:val="24"/>
          <w:lang w:val="hr-HR"/>
        </w:rPr>
      </w:pPr>
      <w:r w:rsidRPr="000130D9">
        <w:rPr>
          <w:rFonts w:ascii="Times New Roman" w:hAnsi="Times New Roman" w:cs="Times New Roman"/>
          <w:sz w:val="24"/>
          <w:szCs w:val="24"/>
          <w:lang w:val="hr-HR" w:bidi="hr-HR"/>
        </w:rPr>
        <w:t xml:space="preserve">Ukoliko je primjenjivo, </w:t>
      </w:r>
      <w:r w:rsidR="00A64AE8" w:rsidRPr="000130D9">
        <w:rPr>
          <w:rFonts w:ascii="Times New Roman" w:hAnsi="Times New Roman" w:cs="Times New Roman"/>
          <w:sz w:val="24"/>
          <w:szCs w:val="24"/>
          <w:lang w:val="hr-HR" w:bidi="hr-HR"/>
        </w:rPr>
        <w:t xml:space="preserve">odnosno ako </w:t>
      </w:r>
      <w:r w:rsidR="009D0FBF" w:rsidRPr="000130D9">
        <w:rPr>
          <w:rFonts w:ascii="Times New Roman" w:hAnsi="Times New Roman" w:cs="Times New Roman"/>
          <w:sz w:val="24"/>
          <w:szCs w:val="24"/>
          <w:lang w:val="hr-HR" w:bidi="hr-HR"/>
        </w:rPr>
        <w:t xml:space="preserve">korisnik </w:t>
      </w:r>
      <w:r w:rsidR="00A64AE8" w:rsidRPr="000130D9">
        <w:rPr>
          <w:rFonts w:ascii="Times New Roman" w:hAnsi="Times New Roman" w:cs="Times New Roman"/>
          <w:sz w:val="24"/>
          <w:szCs w:val="24"/>
          <w:lang w:val="hr-HR"/>
        </w:rPr>
        <w:t xml:space="preserve">provodi ili počne provoditi neekonomsku i ekonomsku djelatnost, </w:t>
      </w:r>
      <w:r w:rsidRPr="000130D9">
        <w:rPr>
          <w:rFonts w:ascii="Times New Roman" w:hAnsi="Times New Roman" w:cs="Times New Roman"/>
          <w:sz w:val="24"/>
          <w:szCs w:val="24"/>
          <w:lang w:val="hr-HR"/>
        </w:rPr>
        <w:t>znanstvena organizacija</w:t>
      </w:r>
      <w:r w:rsidR="00A64AE8" w:rsidRPr="000130D9">
        <w:rPr>
          <w:rFonts w:ascii="Times New Roman" w:hAnsi="Times New Roman" w:cs="Times New Roman"/>
          <w:sz w:val="24"/>
          <w:szCs w:val="24"/>
          <w:lang w:val="hr-HR"/>
        </w:rPr>
        <w:t xml:space="preserve"> mora dostavljati financijske izvještaje</w:t>
      </w:r>
      <w:r w:rsidRPr="000130D9">
        <w:rPr>
          <w:rFonts w:ascii="Times New Roman" w:hAnsi="Times New Roman" w:cs="Times New Roman"/>
          <w:sz w:val="24"/>
          <w:szCs w:val="24"/>
          <w:lang w:val="hr-HR"/>
        </w:rPr>
        <w:t xml:space="preserve"> iz kojih je vidljiva raspodjela ekonomskih i neekonomskih djelatnosti (raspodjela troškova, izvora financijskih sredstava i prihoda). </w:t>
      </w:r>
      <w:r w:rsidR="00A64AE8" w:rsidRPr="000130D9">
        <w:rPr>
          <w:rFonts w:ascii="Times New Roman" w:hAnsi="Times New Roman" w:cs="Times New Roman"/>
          <w:sz w:val="24"/>
          <w:szCs w:val="24"/>
          <w:lang w:val="hr-HR"/>
        </w:rPr>
        <w:t>Financijski izvještaji dostavljaju se</w:t>
      </w:r>
      <w:r w:rsidRPr="000130D9">
        <w:rPr>
          <w:rFonts w:ascii="Times New Roman" w:hAnsi="Times New Roman" w:cs="Times New Roman"/>
          <w:sz w:val="24"/>
          <w:szCs w:val="24"/>
          <w:lang w:val="hr-HR"/>
        </w:rPr>
        <w:t xml:space="preserve"> uz Izvješća o korištenju kapaciteta i u istom roku. </w:t>
      </w:r>
    </w:p>
    <w:p w14:paraId="618488F7" w14:textId="77777777" w:rsidR="003B5B4A" w:rsidRPr="003B5B4A" w:rsidRDefault="003B5B4A" w:rsidP="00742B46">
      <w:pPr>
        <w:pStyle w:val="ListParagraph"/>
        <w:spacing w:after="0"/>
        <w:ind w:left="0"/>
        <w:jc w:val="both"/>
        <w:rPr>
          <w:rFonts w:ascii="Times New Roman" w:hAnsi="Times New Roman" w:cs="Times New Roman"/>
          <w:sz w:val="16"/>
          <w:szCs w:val="24"/>
          <w:lang w:val="hr-HR"/>
        </w:rPr>
      </w:pPr>
    </w:p>
    <w:p w14:paraId="0BB1E9DA" w14:textId="77777777" w:rsidR="003920D6" w:rsidRPr="000130D9" w:rsidRDefault="003920D6" w:rsidP="00742B46">
      <w:pPr>
        <w:tabs>
          <w:tab w:val="left" w:pos="0"/>
        </w:tabs>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Uz pošt</w:t>
      </w:r>
      <w:r w:rsidR="00C0094C" w:rsidRPr="000130D9">
        <w:rPr>
          <w:rFonts w:ascii="Times New Roman" w:hAnsi="Times New Roman" w:cs="Times New Roman"/>
          <w:sz w:val="24"/>
          <w:szCs w:val="24"/>
          <w:lang w:val="hr-HR" w:bidi="hr-HR"/>
        </w:rPr>
        <w:t>i</w:t>
      </w:r>
      <w:r w:rsidRPr="000130D9">
        <w:rPr>
          <w:rFonts w:ascii="Times New Roman" w:hAnsi="Times New Roman" w:cs="Times New Roman"/>
          <w:sz w:val="24"/>
          <w:szCs w:val="24"/>
          <w:lang w:val="hr-HR" w:bidi="hr-HR"/>
        </w:rPr>
        <w:t>vanje svih pravila o državnim potporama navedenim u ovim Smjernicama, a vezano za ista, u formalnom smislu prijavitelji moraju:</w:t>
      </w:r>
    </w:p>
    <w:p w14:paraId="43650F23" w14:textId="46AFC8BE" w:rsidR="003920D6" w:rsidRPr="000130D9" w:rsidRDefault="003920D6" w:rsidP="00742B46">
      <w:pPr>
        <w:pStyle w:val="ListParagraph"/>
        <w:numPr>
          <w:ilvl w:val="0"/>
          <w:numId w:val="52"/>
        </w:numPr>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U </w:t>
      </w:r>
      <w:r w:rsidR="00D33E04" w:rsidRPr="000130D9">
        <w:rPr>
          <w:rFonts w:ascii="Times New Roman" w:hAnsi="Times New Roman" w:cs="Times New Roman"/>
          <w:sz w:val="24"/>
          <w:szCs w:val="24"/>
          <w:lang w:val="hr-HR" w:bidi="hr-HR"/>
        </w:rPr>
        <w:t>I</w:t>
      </w:r>
      <w:r w:rsidRPr="000130D9">
        <w:rPr>
          <w:rFonts w:ascii="Times New Roman" w:hAnsi="Times New Roman" w:cs="Times New Roman"/>
          <w:sz w:val="24"/>
          <w:szCs w:val="24"/>
          <w:lang w:val="hr-HR" w:bidi="hr-HR"/>
        </w:rPr>
        <w:t xml:space="preserve">zjavi prijavitelja (Obrazac </w:t>
      </w:r>
      <w:r w:rsidR="00B85096">
        <w:rPr>
          <w:rFonts w:ascii="Times New Roman" w:hAnsi="Times New Roman" w:cs="Times New Roman"/>
          <w:sz w:val="24"/>
          <w:szCs w:val="24"/>
          <w:lang w:val="hr-HR" w:bidi="hr-HR"/>
        </w:rPr>
        <w:t>3</w:t>
      </w:r>
      <w:r w:rsidRPr="000130D9">
        <w:rPr>
          <w:rFonts w:ascii="Times New Roman" w:hAnsi="Times New Roman" w:cs="Times New Roman"/>
          <w:sz w:val="24"/>
          <w:szCs w:val="24"/>
          <w:lang w:val="hr-HR" w:bidi="hr-HR"/>
        </w:rPr>
        <w:t>.)</w:t>
      </w:r>
      <w:r w:rsidR="00B53249">
        <w:rPr>
          <w:rFonts w:ascii="Times New Roman" w:hAnsi="Times New Roman" w:cs="Times New Roman"/>
          <w:sz w:val="24"/>
          <w:szCs w:val="24"/>
          <w:lang w:val="hr-HR" w:bidi="hr-HR"/>
        </w:rPr>
        <w:t xml:space="preserve"> </w:t>
      </w:r>
      <w:r w:rsidR="004174CA" w:rsidRPr="000130D9">
        <w:rPr>
          <w:rFonts w:ascii="Times New Roman" w:hAnsi="Times New Roman" w:cs="Times New Roman"/>
          <w:sz w:val="24"/>
          <w:szCs w:val="24"/>
          <w:lang w:val="hr-HR" w:bidi="hr-HR"/>
        </w:rPr>
        <w:t>/</w:t>
      </w:r>
      <w:r w:rsidR="00B53249">
        <w:rPr>
          <w:rFonts w:ascii="Times New Roman" w:hAnsi="Times New Roman" w:cs="Times New Roman"/>
          <w:sz w:val="24"/>
          <w:szCs w:val="24"/>
          <w:lang w:val="hr-HR" w:bidi="hr-HR"/>
        </w:rPr>
        <w:t xml:space="preserve"> </w:t>
      </w:r>
      <w:r w:rsidR="004174CA" w:rsidRPr="000130D9">
        <w:rPr>
          <w:rFonts w:ascii="Times New Roman" w:hAnsi="Times New Roman" w:cs="Times New Roman"/>
          <w:sz w:val="24"/>
          <w:szCs w:val="24"/>
          <w:lang w:val="hr-HR" w:bidi="hr-HR"/>
        </w:rPr>
        <w:t xml:space="preserve">Izjavi partnera (Obrazac </w:t>
      </w:r>
      <w:r w:rsidR="00B85096">
        <w:rPr>
          <w:rFonts w:ascii="Times New Roman" w:hAnsi="Times New Roman" w:cs="Times New Roman"/>
          <w:sz w:val="24"/>
          <w:szCs w:val="24"/>
          <w:lang w:val="hr-HR" w:bidi="hr-HR"/>
        </w:rPr>
        <w:t>4</w:t>
      </w:r>
      <w:r w:rsidR="004174CA" w:rsidRPr="000130D9">
        <w:rPr>
          <w:rFonts w:ascii="Times New Roman" w:hAnsi="Times New Roman" w:cs="Times New Roman"/>
          <w:sz w:val="24"/>
          <w:szCs w:val="24"/>
          <w:lang w:val="hr-HR" w:bidi="hr-HR"/>
        </w:rPr>
        <w:t>.)</w:t>
      </w:r>
      <w:r w:rsidRPr="000130D9">
        <w:rPr>
          <w:rFonts w:ascii="Times New Roman" w:hAnsi="Times New Roman" w:cs="Times New Roman"/>
          <w:sz w:val="24"/>
          <w:szCs w:val="24"/>
          <w:lang w:val="hr-HR" w:bidi="hr-HR"/>
        </w:rPr>
        <w:t xml:space="preserve"> navesti da sredstva dodijeljena temeljem ovog Poziva neće koristiti za ekonomske djelatnosti</w:t>
      </w:r>
      <w:r w:rsidR="003A65BE" w:rsidRPr="000130D9">
        <w:rPr>
          <w:rFonts w:ascii="Times New Roman" w:hAnsi="Times New Roman" w:cs="Times New Roman"/>
          <w:sz w:val="24"/>
          <w:szCs w:val="24"/>
          <w:lang w:val="hr-HR" w:bidi="hr-HR"/>
        </w:rPr>
        <w:t>,</w:t>
      </w:r>
      <w:r w:rsidRPr="000130D9">
        <w:rPr>
          <w:rFonts w:ascii="Times New Roman" w:hAnsi="Times New Roman" w:cs="Times New Roman"/>
          <w:sz w:val="24"/>
          <w:szCs w:val="24"/>
          <w:lang w:val="hr-HR" w:bidi="hr-HR"/>
        </w:rPr>
        <w:t xml:space="preserve"> </w:t>
      </w:r>
    </w:p>
    <w:p w14:paraId="170286E0" w14:textId="7C681726" w:rsidR="003920D6" w:rsidRDefault="003920D6" w:rsidP="00742B46">
      <w:pPr>
        <w:pStyle w:val="ListParagraph"/>
        <w:numPr>
          <w:ilvl w:val="0"/>
          <w:numId w:val="52"/>
        </w:numPr>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U </w:t>
      </w:r>
      <w:r w:rsidR="00D33E04" w:rsidRPr="000130D9">
        <w:rPr>
          <w:rFonts w:ascii="Times New Roman" w:hAnsi="Times New Roman" w:cs="Times New Roman"/>
          <w:sz w:val="24"/>
          <w:szCs w:val="24"/>
          <w:lang w:val="hr-HR" w:bidi="hr-HR"/>
        </w:rPr>
        <w:t>I</w:t>
      </w:r>
      <w:r w:rsidRPr="000130D9">
        <w:rPr>
          <w:rFonts w:ascii="Times New Roman" w:hAnsi="Times New Roman" w:cs="Times New Roman"/>
          <w:sz w:val="24"/>
          <w:szCs w:val="24"/>
          <w:lang w:val="hr-HR" w:bidi="hr-HR"/>
        </w:rPr>
        <w:t xml:space="preserve">zjavi prijavitelja (Obrazac </w:t>
      </w:r>
      <w:r w:rsidR="00B85096">
        <w:rPr>
          <w:rFonts w:ascii="Times New Roman" w:hAnsi="Times New Roman" w:cs="Times New Roman"/>
          <w:sz w:val="24"/>
          <w:szCs w:val="24"/>
          <w:lang w:val="hr-HR" w:bidi="hr-HR"/>
        </w:rPr>
        <w:t>3</w:t>
      </w:r>
      <w:r w:rsidRPr="000130D9">
        <w:rPr>
          <w:rFonts w:ascii="Times New Roman" w:hAnsi="Times New Roman" w:cs="Times New Roman"/>
          <w:sz w:val="24"/>
          <w:szCs w:val="24"/>
          <w:lang w:val="hr-HR" w:bidi="hr-HR"/>
        </w:rPr>
        <w:t>.)</w:t>
      </w:r>
      <w:r w:rsidR="00B53249">
        <w:rPr>
          <w:rFonts w:ascii="Times New Roman" w:hAnsi="Times New Roman" w:cs="Times New Roman"/>
          <w:sz w:val="24"/>
          <w:szCs w:val="24"/>
          <w:lang w:val="hr-HR" w:bidi="hr-HR"/>
        </w:rPr>
        <w:t xml:space="preserve"> </w:t>
      </w:r>
      <w:r w:rsidR="00604B9F">
        <w:rPr>
          <w:rFonts w:ascii="Times New Roman" w:hAnsi="Times New Roman" w:cs="Times New Roman"/>
          <w:sz w:val="24"/>
          <w:szCs w:val="24"/>
          <w:lang w:val="hr-HR" w:bidi="hr-HR"/>
        </w:rPr>
        <w:t>/</w:t>
      </w:r>
      <w:r w:rsidR="00B53249">
        <w:rPr>
          <w:rFonts w:ascii="Times New Roman" w:hAnsi="Times New Roman" w:cs="Times New Roman"/>
          <w:sz w:val="24"/>
          <w:szCs w:val="24"/>
          <w:lang w:val="hr-HR" w:bidi="hr-HR"/>
        </w:rPr>
        <w:t xml:space="preserve"> </w:t>
      </w:r>
      <w:r w:rsidR="004174CA" w:rsidRPr="000130D9">
        <w:rPr>
          <w:rFonts w:ascii="Times New Roman" w:hAnsi="Times New Roman" w:cs="Times New Roman"/>
          <w:sz w:val="24"/>
          <w:szCs w:val="24"/>
          <w:lang w:val="hr-HR" w:bidi="hr-HR"/>
        </w:rPr>
        <w:t xml:space="preserve">Izjavi partnera (Obrazac </w:t>
      </w:r>
      <w:r w:rsidR="00B85096">
        <w:rPr>
          <w:rFonts w:ascii="Times New Roman" w:hAnsi="Times New Roman" w:cs="Times New Roman"/>
          <w:sz w:val="24"/>
          <w:szCs w:val="24"/>
          <w:lang w:val="hr-HR" w:bidi="hr-HR"/>
        </w:rPr>
        <w:t>4</w:t>
      </w:r>
      <w:r w:rsidR="004174CA" w:rsidRPr="000130D9">
        <w:rPr>
          <w:rFonts w:ascii="Times New Roman" w:hAnsi="Times New Roman" w:cs="Times New Roman"/>
          <w:sz w:val="24"/>
          <w:szCs w:val="24"/>
          <w:lang w:val="hr-HR" w:bidi="hr-HR"/>
        </w:rPr>
        <w:t xml:space="preserve">.) </w:t>
      </w:r>
      <w:r w:rsidRPr="000130D9">
        <w:rPr>
          <w:rFonts w:ascii="Times New Roman" w:hAnsi="Times New Roman" w:cs="Times New Roman"/>
          <w:sz w:val="24"/>
          <w:szCs w:val="24"/>
          <w:lang w:val="hr-HR" w:bidi="hr-HR"/>
        </w:rPr>
        <w:t xml:space="preserve"> navesti da će odvojeno voditi ekonomske i neekonomske djelatnosti, ukoliko je primjenjivo</w:t>
      </w:r>
      <w:r w:rsidR="003A65BE" w:rsidRPr="000130D9">
        <w:rPr>
          <w:rFonts w:ascii="Times New Roman" w:hAnsi="Times New Roman" w:cs="Times New Roman"/>
          <w:sz w:val="24"/>
          <w:szCs w:val="24"/>
          <w:lang w:val="hr-HR" w:bidi="hr-HR"/>
        </w:rPr>
        <w:t>,</w:t>
      </w:r>
    </w:p>
    <w:p w14:paraId="409F7247" w14:textId="126D5894" w:rsidR="002E168D" w:rsidRPr="002E168D" w:rsidRDefault="002E168D" w:rsidP="00742B46">
      <w:pPr>
        <w:pStyle w:val="ListParagraph"/>
        <w:numPr>
          <w:ilvl w:val="0"/>
          <w:numId w:val="52"/>
        </w:numPr>
        <w:spacing w:after="0"/>
        <w:jc w:val="both"/>
        <w:rPr>
          <w:rFonts w:ascii="Times New Roman" w:hAnsi="Times New Roman" w:cs="Times New Roman"/>
          <w:sz w:val="24"/>
          <w:szCs w:val="24"/>
          <w:lang w:val="hr-HR" w:bidi="hr-HR"/>
        </w:rPr>
      </w:pPr>
      <w:r>
        <w:rPr>
          <w:rFonts w:ascii="Times New Roman" w:hAnsi="Times New Roman" w:cs="Times New Roman"/>
          <w:sz w:val="24"/>
          <w:szCs w:val="24"/>
          <w:lang w:val="hr-HR" w:bidi="hr-HR"/>
        </w:rPr>
        <w:t xml:space="preserve">U </w:t>
      </w:r>
      <w:r w:rsidR="003B5B4A" w:rsidRPr="003B5B4A">
        <w:rPr>
          <w:rFonts w:ascii="Times New Roman" w:hAnsi="Times New Roman" w:cs="Times New Roman"/>
          <w:sz w:val="24"/>
          <w:szCs w:val="24"/>
          <w:lang w:val="hr-HR" w:bidi="hr-HR"/>
        </w:rPr>
        <w:t xml:space="preserve">Izjavi prijavitelja (Obrazac 3.) / Izjavi partnera (Obrazac 4.)  </w:t>
      </w:r>
      <w:r w:rsidR="003B5B4A">
        <w:rPr>
          <w:rFonts w:ascii="Times New Roman" w:hAnsi="Times New Roman" w:cs="Times New Roman"/>
          <w:sz w:val="24"/>
          <w:szCs w:val="24"/>
          <w:lang w:val="hr-HR" w:bidi="hr-HR"/>
        </w:rPr>
        <w:t xml:space="preserve">navesti </w:t>
      </w:r>
      <w:r w:rsidRPr="002E168D">
        <w:rPr>
          <w:rFonts w:ascii="Times New Roman" w:hAnsi="Times New Roman" w:cs="Times New Roman"/>
          <w:sz w:val="24"/>
          <w:szCs w:val="24"/>
          <w:lang w:val="hr-HR" w:bidi="hr-HR"/>
        </w:rPr>
        <w:t>da ekonomske djelatnosti koje se sastoje od ponude proizvoda ili usluga na određenom tržištu ne premašuju 20% ukupnih godišnjih kapaciteta istraživačke organizacije</w:t>
      </w:r>
      <w:r>
        <w:rPr>
          <w:rFonts w:ascii="Times New Roman" w:hAnsi="Times New Roman" w:cs="Times New Roman"/>
          <w:sz w:val="24"/>
          <w:szCs w:val="24"/>
          <w:lang w:val="hr-HR" w:bidi="hr-HR"/>
        </w:rPr>
        <w:t xml:space="preserve">, </w:t>
      </w:r>
    </w:p>
    <w:p w14:paraId="56FCF061" w14:textId="5CE03FF2" w:rsidR="003920D6" w:rsidRPr="000130D9" w:rsidRDefault="003920D6" w:rsidP="00742B46">
      <w:pPr>
        <w:pStyle w:val="ListParagraph"/>
        <w:numPr>
          <w:ilvl w:val="0"/>
          <w:numId w:val="52"/>
        </w:numPr>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Nakon provedbe projekta, a do isteka roka za amortizaciju dostavljati financijske izvještaje iz kojih je vidljivo odvojeno financiranje, troškovi i prihodi ekonomskih i neekonomskih djelatnosti</w:t>
      </w:r>
      <w:r w:rsidR="003A65BE" w:rsidRPr="000130D9">
        <w:rPr>
          <w:rFonts w:ascii="Times New Roman" w:hAnsi="Times New Roman" w:cs="Times New Roman"/>
          <w:sz w:val="24"/>
          <w:szCs w:val="24"/>
          <w:lang w:val="hr-HR" w:bidi="hr-HR"/>
        </w:rPr>
        <w:t>,</w:t>
      </w:r>
      <w:r w:rsidRPr="000130D9">
        <w:rPr>
          <w:rFonts w:ascii="Times New Roman" w:hAnsi="Times New Roman" w:cs="Times New Roman"/>
          <w:sz w:val="24"/>
          <w:szCs w:val="24"/>
          <w:lang w:val="hr-HR" w:bidi="hr-HR"/>
        </w:rPr>
        <w:t xml:space="preserve"> </w:t>
      </w:r>
      <w:r w:rsidR="003A65BE" w:rsidRPr="000130D9">
        <w:rPr>
          <w:rFonts w:ascii="Times New Roman" w:hAnsi="Times New Roman" w:cs="Times New Roman"/>
          <w:sz w:val="24"/>
          <w:szCs w:val="24"/>
          <w:lang w:val="hr-HR" w:bidi="hr-HR"/>
        </w:rPr>
        <w:t>ukoliko je primjenjivo,</w:t>
      </w:r>
      <w:r w:rsidR="00281074" w:rsidRPr="000130D9">
        <w:rPr>
          <w:rFonts w:ascii="Times New Roman" w:hAnsi="Times New Roman" w:cs="Times New Roman"/>
        </w:rPr>
        <w:t xml:space="preserve"> </w:t>
      </w:r>
    </w:p>
    <w:p w14:paraId="409E8B23" w14:textId="1F476CB3" w:rsidR="003920D6" w:rsidRDefault="003A65BE" w:rsidP="00742B46">
      <w:pPr>
        <w:pStyle w:val="ListParagraph"/>
        <w:numPr>
          <w:ilvl w:val="0"/>
          <w:numId w:val="52"/>
        </w:numPr>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Nakon provedbe projekta, a do isteka roka za amortizaciju dostavljati </w:t>
      </w:r>
      <w:r w:rsidR="003920D6" w:rsidRPr="000130D9">
        <w:rPr>
          <w:rFonts w:ascii="Times New Roman" w:hAnsi="Times New Roman" w:cs="Times New Roman"/>
          <w:sz w:val="24"/>
          <w:szCs w:val="24"/>
          <w:lang w:val="hr-HR" w:bidi="hr-HR"/>
        </w:rPr>
        <w:t>Izvješća o korištenju kapaciteta</w:t>
      </w:r>
      <w:r w:rsidR="00B611C8">
        <w:rPr>
          <w:rFonts w:ascii="Times New Roman" w:hAnsi="Times New Roman" w:cs="Times New Roman"/>
          <w:sz w:val="24"/>
          <w:szCs w:val="24"/>
          <w:lang w:val="hr-HR" w:bidi="hr-HR"/>
        </w:rPr>
        <w:t>.</w:t>
      </w:r>
    </w:p>
    <w:p w14:paraId="65853D9C" w14:textId="77777777" w:rsidR="00B611C8" w:rsidRDefault="00B611C8" w:rsidP="00742B46">
      <w:pPr>
        <w:pStyle w:val="ListParagraph"/>
        <w:spacing w:after="0"/>
        <w:jc w:val="both"/>
        <w:rPr>
          <w:rFonts w:ascii="Times New Roman" w:hAnsi="Times New Roman" w:cs="Times New Roman"/>
          <w:sz w:val="24"/>
          <w:szCs w:val="24"/>
          <w:lang w:val="hr-HR" w:bidi="hr-HR"/>
        </w:rPr>
      </w:pPr>
    </w:p>
    <w:p w14:paraId="234B6AA8" w14:textId="7B0CC95C" w:rsidR="00B611C8" w:rsidRPr="00B611C8" w:rsidRDefault="00B611C8" w:rsidP="00742B46">
      <w:pPr>
        <w:spacing w:after="0"/>
        <w:jc w:val="both"/>
        <w:rPr>
          <w:rFonts w:ascii="Times New Roman" w:hAnsi="Times New Roman" w:cs="Times New Roman"/>
          <w:sz w:val="24"/>
          <w:szCs w:val="24"/>
          <w:lang w:val="hr-HR" w:bidi="hr-HR"/>
        </w:rPr>
      </w:pPr>
      <w:r>
        <w:rPr>
          <w:rFonts w:ascii="Times New Roman" w:hAnsi="Times New Roman" w:cs="Times New Roman"/>
          <w:sz w:val="24"/>
          <w:szCs w:val="24"/>
          <w:lang w:val="hr-HR" w:bidi="hr-HR"/>
        </w:rPr>
        <w:t>Navedene odredbe vrijede za istraživačke organizacije u ulozi prijavitelja, kao i u ulozi partnera.</w:t>
      </w:r>
    </w:p>
    <w:p w14:paraId="1EB95B0D" w14:textId="77777777" w:rsidR="0080310D" w:rsidRPr="000130D9" w:rsidRDefault="0080310D" w:rsidP="00742B46">
      <w:pPr>
        <w:spacing w:after="0"/>
        <w:jc w:val="both"/>
        <w:rPr>
          <w:rFonts w:ascii="Times New Roman" w:hAnsi="Times New Roman" w:cs="Times New Roman"/>
          <w:sz w:val="24"/>
          <w:szCs w:val="24"/>
          <w:lang w:val="hr-HR" w:bidi="hr-HR"/>
        </w:rPr>
      </w:pPr>
    </w:p>
    <w:p w14:paraId="47E6BF63" w14:textId="77777777" w:rsidR="0080310D" w:rsidRPr="000130D9" w:rsidRDefault="0080310D" w:rsidP="00742B46">
      <w:pPr>
        <w:spacing w:after="0"/>
        <w:jc w:val="both"/>
        <w:rPr>
          <w:rFonts w:ascii="Times New Roman" w:hAnsi="Times New Roman" w:cs="Times New Roman"/>
          <w:sz w:val="24"/>
          <w:szCs w:val="24"/>
          <w:lang w:val="hr-HR" w:bidi="hr-HR"/>
        </w:rPr>
      </w:pPr>
    </w:p>
    <w:p w14:paraId="7A49259C" w14:textId="77777777" w:rsidR="003920D6" w:rsidRPr="000F133D" w:rsidRDefault="00C0094C" w:rsidP="00742B46">
      <w:pPr>
        <w:pStyle w:val="Heading1"/>
        <w:numPr>
          <w:ilvl w:val="0"/>
          <w:numId w:val="0"/>
        </w:numPr>
        <w:pBdr>
          <w:top w:val="single" w:sz="4" w:space="1" w:color="auto"/>
          <w:left w:val="single" w:sz="4" w:space="4" w:color="auto"/>
          <w:bottom w:val="single" w:sz="4" w:space="1" w:color="auto"/>
          <w:right w:val="single" w:sz="4" w:space="4" w:color="auto"/>
        </w:pBdr>
        <w:shd w:val="clear" w:color="auto" w:fill="8DB3E2" w:themeFill="text2" w:themeFillTint="66"/>
        <w:spacing w:before="0"/>
        <w:jc w:val="both"/>
        <w:rPr>
          <w:rFonts w:ascii="Times New Roman" w:hAnsi="Times New Roman" w:cs="Times New Roman"/>
          <w:sz w:val="26"/>
          <w:szCs w:val="26"/>
          <w:lang w:val="hr-HR"/>
        </w:rPr>
      </w:pPr>
      <w:r w:rsidRPr="000F133D">
        <w:rPr>
          <w:rFonts w:ascii="Times New Roman" w:hAnsi="Times New Roman" w:cs="Times New Roman"/>
          <w:sz w:val="26"/>
          <w:szCs w:val="26"/>
          <w:lang w:val="hr-HR"/>
        </w:rPr>
        <w:t>Uvjeti za poduzetnike</w:t>
      </w:r>
    </w:p>
    <w:p w14:paraId="6334BA0C" w14:textId="77777777" w:rsidR="00B65D21" w:rsidRPr="000130D9" w:rsidRDefault="00B65D21" w:rsidP="00742B46">
      <w:pPr>
        <w:pStyle w:val="ListParagraph"/>
        <w:ind w:left="0"/>
        <w:jc w:val="both"/>
        <w:rPr>
          <w:rFonts w:ascii="Times New Roman" w:hAnsi="Times New Roman" w:cs="Times New Roman"/>
          <w:u w:val="single"/>
          <w:lang w:val="hr-HR" w:bidi="hr-HR"/>
        </w:rPr>
      </w:pPr>
    </w:p>
    <w:p w14:paraId="3F705B20" w14:textId="77777777" w:rsidR="001C0361" w:rsidRDefault="00281074" w:rsidP="00742B46">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w:t>
      </w:r>
      <w:r w:rsidR="004531BE" w:rsidRPr="000130D9">
        <w:rPr>
          <w:rFonts w:ascii="Times New Roman" w:hAnsi="Times New Roman" w:cs="Times New Roman"/>
          <w:sz w:val="24"/>
          <w:szCs w:val="24"/>
          <w:lang w:val="hr-HR" w:bidi="hr-HR"/>
        </w:rPr>
        <w:t xml:space="preserve"> okviru ovog Poziva mikro, mala i srednja poduzeća (ili „MSP-ovi”) koja ispunjavaju uvjete utvrđene u Prilogu I</w:t>
      </w:r>
      <w:r w:rsidR="00CC6D09" w:rsidRPr="000130D9">
        <w:rPr>
          <w:rFonts w:ascii="Times New Roman" w:hAnsi="Times New Roman" w:cs="Times New Roman"/>
          <w:sz w:val="24"/>
          <w:szCs w:val="24"/>
          <w:lang w:val="hr-HR" w:bidi="hr-HR"/>
        </w:rPr>
        <w:t xml:space="preserve"> Uredbe 651/2014 i Uredbe 1084/2017</w:t>
      </w:r>
      <w:r w:rsidR="00B3382F">
        <w:rPr>
          <w:rFonts w:ascii="Times New Roman" w:hAnsi="Times New Roman" w:cs="Times New Roman"/>
          <w:sz w:val="24"/>
          <w:szCs w:val="24"/>
          <w:lang w:val="hr-HR" w:bidi="hr-HR"/>
        </w:rPr>
        <w:t xml:space="preserve"> te velika</w:t>
      </w:r>
      <w:r w:rsidR="00B3382F" w:rsidRPr="00B3382F">
        <w:rPr>
          <w:rFonts w:ascii="Times New Roman" w:hAnsi="Times New Roman" w:cs="Times New Roman"/>
          <w:sz w:val="24"/>
          <w:szCs w:val="24"/>
          <w:lang w:val="hr-HR" w:bidi="hr-HR"/>
        </w:rPr>
        <w:t xml:space="preserve"> poduzeć</w:t>
      </w:r>
      <w:r w:rsidR="00B3382F">
        <w:rPr>
          <w:rFonts w:ascii="Times New Roman" w:hAnsi="Times New Roman" w:cs="Times New Roman"/>
          <w:sz w:val="24"/>
          <w:szCs w:val="24"/>
          <w:lang w:val="hr-HR" w:bidi="hr-HR"/>
        </w:rPr>
        <w:t>a</w:t>
      </w:r>
      <w:r w:rsidR="005D1EBF">
        <w:rPr>
          <w:rFonts w:ascii="Times New Roman" w:hAnsi="Times New Roman" w:cs="Times New Roman"/>
          <w:sz w:val="24"/>
          <w:szCs w:val="24"/>
          <w:lang w:val="hr-HR" w:bidi="hr-HR"/>
        </w:rPr>
        <w:t>, koja</w:t>
      </w:r>
      <w:r w:rsidR="00B3382F" w:rsidRPr="00B3382F">
        <w:rPr>
          <w:rFonts w:ascii="Times New Roman" w:hAnsi="Times New Roman" w:cs="Times New Roman"/>
          <w:sz w:val="24"/>
          <w:szCs w:val="24"/>
          <w:lang w:val="hr-HR" w:bidi="hr-HR"/>
        </w:rPr>
        <w:t xml:space="preserve"> ne zadovoljava</w:t>
      </w:r>
      <w:r w:rsidR="005D1EBF">
        <w:rPr>
          <w:rFonts w:ascii="Times New Roman" w:hAnsi="Times New Roman" w:cs="Times New Roman"/>
          <w:sz w:val="24"/>
          <w:szCs w:val="24"/>
          <w:lang w:val="hr-HR" w:bidi="hr-HR"/>
        </w:rPr>
        <w:t>ju</w:t>
      </w:r>
      <w:r w:rsidR="00B3382F" w:rsidRPr="00B3382F">
        <w:rPr>
          <w:rFonts w:ascii="Times New Roman" w:hAnsi="Times New Roman" w:cs="Times New Roman"/>
          <w:sz w:val="24"/>
          <w:szCs w:val="24"/>
          <w:lang w:val="hr-HR" w:bidi="hr-HR"/>
        </w:rPr>
        <w:t xml:space="preserve"> definiciju iz Priloga I. Definicija malih i srednjih poduzeća Uredbe 651/2014</w:t>
      </w:r>
      <w:r w:rsidRPr="000130D9">
        <w:rPr>
          <w:rFonts w:ascii="Times New Roman" w:hAnsi="Times New Roman" w:cs="Times New Roman"/>
          <w:sz w:val="24"/>
          <w:szCs w:val="24"/>
          <w:lang w:val="hr-HR" w:bidi="hr-HR"/>
        </w:rPr>
        <w:t xml:space="preserve"> su </w:t>
      </w:r>
    </w:p>
    <w:p w14:paraId="3307F1F6" w14:textId="77777777" w:rsidR="001C0361" w:rsidRDefault="001C0361" w:rsidP="00742B46">
      <w:pPr>
        <w:pStyle w:val="ListParagraph"/>
        <w:spacing w:after="0"/>
        <w:ind w:left="0"/>
        <w:jc w:val="both"/>
        <w:rPr>
          <w:rFonts w:ascii="Times New Roman" w:hAnsi="Times New Roman" w:cs="Times New Roman"/>
          <w:sz w:val="24"/>
          <w:szCs w:val="24"/>
          <w:lang w:val="hr-HR" w:bidi="hr-HR"/>
        </w:rPr>
      </w:pPr>
    </w:p>
    <w:p w14:paraId="52DA2E54" w14:textId="77777777" w:rsidR="001C0361" w:rsidRDefault="001C0361" w:rsidP="00742B46">
      <w:pPr>
        <w:pStyle w:val="ListParagraph"/>
        <w:spacing w:after="0"/>
        <w:ind w:left="0"/>
        <w:jc w:val="both"/>
        <w:rPr>
          <w:rFonts w:ascii="Times New Roman" w:hAnsi="Times New Roman" w:cs="Times New Roman"/>
          <w:sz w:val="24"/>
          <w:szCs w:val="24"/>
          <w:lang w:val="hr-HR" w:bidi="hr-HR"/>
        </w:rPr>
      </w:pPr>
    </w:p>
    <w:p w14:paraId="33EB0C64" w14:textId="54649DD6" w:rsidR="00FF02DD" w:rsidRPr="000130D9" w:rsidRDefault="00281074" w:rsidP="00742B46">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prijavitelji</w:t>
      </w:r>
      <w:r w:rsidR="00B3382F">
        <w:rPr>
          <w:rFonts w:ascii="Times New Roman" w:hAnsi="Times New Roman" w:cs="Times New Roman"/>
          <w:sz w:val="24"/>
          <w:szCs w:val="24"/>
          <w:lang w:val="hr-HR" w:bidi="hr-HR"/>
        </w:rPr>
        <w:t xml:space="preserve"> ili partneri</w:t>
      </w:r>
      <w:r w:rsidR="004531BE" w:rsidRPr="000130D9">
        <w:rPr>
          <w:rFonts w:ascii="Times New Roman" w:hAnsi="Times New Roman" w:cs="Times New Roman"/>
          <w:sz w:val="24"/>
          <w:szCs w:val="24"/>
          <w:lang w:val="hr-HR" w:bidi="hr-HR"/>
        </w:rPr>
        <w:t xml:space="preserve">. </w:t>
      </w:r>
      <w:r w:rsidR="00FA5866" w:rsidRPr="000130D9">
        <w:rPr>
          <w:rFonts w:ascii="Times New Roman" w:hAnsi="Times New Roman" w:cs="Times New Roman"/>
          <w:sz w:val="24"/>
          <w:szCs w:val="24"/>
          <w:lang w:val="hr-HR" w:bidi="hr-HR"/>
        </w:rPr>
        <w:t xml:space="preserve">Sukladnost uvjetima navedenim u </w:t>
      </w:r>
      <w:r w:rsidR="00FD2E21" w:rsidRPr="000130D9">
        <w:rPr>
          <w:rFonts w:ascii="Times New Roman" w:hAnsi="Times New Roman" w:cs="Times New Roman"/>
          <w:sz w:val="24"/>
          <w:szCs w:val="24"/>
          <w:lang w:val="hr-HR" w:bidi="hr-HR"/>
        </w:rPr>
        <w:t>P</w:t>
      </w:r>
      <w:r w:rsidR="00FA5866" w:rsidRPr="000130D9">
        <w:rPr>
          <w:rFonts w:ascii="Times New Roman" w:hAnsi="Times New Roman" w:cs="Times New Roman"/>
          <w:sz w:val="24"/>
          <w:szCs w:val="24"/>
          <w:lang w:val="hr-HR" w:bidi="hr-HR"/>
        </w:rPr>
        <w:t>rilogu I.</w:t>
      </w:r>
      <w:r w:rsidR="005D1EBF">
        <w:rPr>
          <w:rFonts w:ascii="Times New Roman" w:hAnsi="Times New Roman" w:cs="Times New Roman"/>
          <w:sz w:val="24"/>
          <w:szCs w:val="24"/>
          <w:lang w:val="hr-HR" w:bidi="hr-HR"/>
        </w:rPr>
        <w:t xml:space="preserve"> Uredbe 651/2014</w:t>
      </w:r>
      <w:r w:rsidR="00FA5866" w:rsidRPr="000130D9">
        <w:rPr>
          <w:rFonts w:ascii="Times New Roman" w:hAnsi="Times New Roman" w:cs="Times New Roman"/>
          <w:sz w:val="24"/>
          <w:szCs w:val="24"/>
          <w:lang w:val="hr-HR" w:bidi="hr-HR"/>
        </w:rPr>
        <w:t xml:space="preserve"> poduzetnici dokazuju Skupnom izjavom (Obrazac </w:t>
      </w:r>
      <w:r w:rsidR="00B3382F">
        <w:rPr>
          <w:rFonts w:ascii="Times New Roman" w:hAnsi="Times New Roman" w:cs="Times New Roman"/>
          <w:sz w:val="24"/>
          <w:szCs w:val="24"/>
          <w:lang w:val="hr-HR" w:bidi="hr-HR"/>
        </w:rPr>
        <w:t>5</w:t>
      </w:r>
      <w:r w:rsidR="00FA5866" w:rsidRPr="000130D9">
        <w:rPr>
          <w:rFonts w:ascii="Times New Roman" w:hAnsi="Times New Roman" w:cs="Times New Roman"/>
          <w:sz w:val="24"/>
          <w:szCs w:val="24"/>
          <w:lang w:val="hr-HR" w:bidi="hr-HR"/>
        </w:rPr>
        <w:t>.)</w:t>
      </w:r>
      <w:r w:rsidR="00D65CA0">
        <w:rPr>
          <w:rFonts w:ascii="Times New Roman" w:hAnsi="Times New Roman" w:cs="Times New Roman"/>
          <w:sz w:val="24"/>
          <w:szCs w:val="24"/>
          <w:lang w:val="hr-HR" w:bidi="hr-HR"/>
        </w:rPr>
        <w:t xml:space="preserve">. </w:t>
      </w:r>
    </w:p>
    <w:p w14:paraId="303BDD31" w14:textId="626C9451" w:rsidR="005D1EBF" w:rsidRPr="001C0361" w:rsidRDefault="00FA5866" w:rsidP="001C0361">
      <w:pPr>
        <w:pStyle w:val="ListParagraph"/>
        <w:spacing w:after="0"/>
        <w:ind w:left="0"/>
        <w:jc w:val="both"/>
        <w:rPr>
          <w:rFonts w:ascii="Times New Roman" w:hAnsi="Times New Roman" w:cs="Times New Roman"/>
          <w:bCs/>
          <w:iCs/>
          <w:sz w:val="24"/>
          <w:szCs w:val="24"/>
          <w:lang w:val="hr-HR"/>
        </w:rPr>
      </w:pPr>
      <w:r w:rsidRPr="000130D9">
        <w:rPr>
          <w:rFonts w:ascii="Times New Roman" w:hAnsi="Times New Roman" w:cs="Times New Roman"/>
          <w:sz w:val="24"/>
          <w:szCs w:val="24"/>
          <w:lang w:val="hr-HR" w:bidi="hr-HR"/>
        </w:rPr>
        <w:t>Sredstva dodijeljena poduzetnicima temeljem ovog Poziv</w:t>
      </w:r>
      <w:r w:rsidR="00FF02DD" w:rsidRPr="000130D9">
        <w:rPr>
          <w:rFonts w:ascii="Times New Roman" w:hAnsi="Times New Roman" w:cs="Times New Roman"/>
          <w:sz w:val="24"/>
          <w:szCs w:val="24"/>
          <w:lang w:val="hr-HR" w:bidi="hr-HR"/>
        </w:rPr>
        <w:t>a predstavljaju državnu potporu, a dodjeljuju se</w:t>
      </w:r>
      <w:r w:rsidR="00FF02DD" w:rsidRPr="000130D9">
        <w:rPr>
          <w:rFonts w:ascii="Times New Roman" w:hAnsi="Times New Roman" w:cs="Times New Roman"/>
          <w:bCs/>
          <w:iCs/>
          <w:sz w:val="24"/>
          <w:szCs w:val="24"/>
          <w:lang w:val="hr-HR"/>
        </w:rPr>
        <w:t>:</w:t>
      </w:r>
    </w:p>
    <w:p w14:paraId="62DDE92C" w14:textId="10CC5FEF" w:rsidR="00057951" w:rsidRPr="00057951" w:rsidRDefault="00AE0E00" w:rsidP="00742B46">
      <w:pPr>
        <w:pStyle w:val="ListParagraph"/>
        <w:numPr>
          <w:ilvl w:val="0"/>
          <w:numId w:val="15"/>
        </w:numPr>
        <w:spacing w:after="0"/>
        <w:jc w:val="both"/>
        <w:rPr>
          <w:rFonts w:ascii="Times New Roman" w:hAnsi="Times New Roman" w:cs="Times New Roman"/>
          <w:bCs/>
          <w:iCs/>
          <w:sz w:val="24"/>
          <w:szCs w:val="24"/>
          <w:lang w:val="hr-HR"/>
        </w:rPr>
      </w:pPr>
      <w:r>
        <w:rPr>
          <w:rFonts w:ascii="Times New Roman" w:hAnsi="Times New Roman" w:cs="Times New Roman"/>
          <w:bCs/>
          <w:sz w:val="24"/>
          <w:szCs w:val="24"/>
          <w:lang w:val="hr-HR"/>
        </w:rPr>
        <w:t xml:space="preserve">kao potpore za </w:t>
      </w:r>
      <w:r w:rsidR="00FF02DD" w:rsidRPr="000130D9">
        <w:rPr>
          <w:rFonts w:ascii="Times New Roman" w:hAnsi="Times New Roman" w:cs="Times New Roman"/>
          <w:bCs/>
          <w:sz w:val="24"/>
          <w:szCs w:val="24"/>
          <w:lang w:val="hr-HR"/>
        </w:rPr>
        <w:t>istraživanj</w:t>
      </w:r>
      <w:r>
        <w:rPr>
          <w:rFonts w:ascii="Times New Roman" w:hAnsi="Times New Roman" w:cs="Times New Roman"/>
          <w:bCs/>
          <w:sz w:val="24"/>
          <w:szCs w:val="24"/>
          <w:lang w:val="hr-HR"/>
        </w:rPr>
        <w:t>e</w:t>
      </w:r>
      <w:r w:rsidR="00FF02DD" w:rsidRPr="000130D9">
        <w:rPr>
          <w:rFonts w:ascii="Times New Roman" w:hAnsi="Times New Roman" w:cs="Times New Roman"/>
          <w:bCs/>
          <w:sz w:val="24"/>
          <w:szCs w:val="24"/>
          <w:lang w:val="hr-HR"/>
        </w:rPr>
        <w:t xml:space="preserve"> i </w:t>
      </w:r>
      <w:r w:rsidRPr="00AE0E00">
        <w:rPr>
          <w:rFonts w:ascii="Times New Roman" w:hAnsi="Times New Roman" w:cs="Times New Roman"/>
          <w:bCs/>
          <w:sz w:val="24"/>
          <w:szCs w:val="24"/>
          <w:lang w:val="hr-HR"/>
        </w:rPr>
        <w:t>razvoj temeljem članka 25. Uredbe Komisije (EU) br. 651/2014</w:t>
      </w:r>
      <w:r>
        <w:rPr>
          <w:rFonts w:ascii="Times New Roman" w:hAnsi="Times New Roman" w:cs="Times New Roman"/>
          <w:bCs/>
          <w:sz w:val="24"/>
          <w:szCs w:val="24"/>
          <w:lang w:val="hr-HR"/>
        </w:rPr>
        <w:t xml:space="preserve">; </w:t>
      </w:r>
    </w:p>
    <w:p w14:paraId="0B8913D1" w14:textId="76449F29" w:rsidR="00057951" w:rsidRPr="00057951" w:rsidRDefault="00057951" w:rsidP="00057951">
      <w:pPr>
        <w:pStyle w:val="ListParagraph"/>
        <w:numPr>
          <w:ilvl w:val="0"/>
          <w:numId w:val="15"/>
        </w:numPr>
        <w:rPr>
          <w:rFonts w:ascii="Times New Roman" w:hAnsi="Times New Roman" w:cs="Times New Roman"/>
          <w:bCs/>
          <w:iCs/>
          <w:sz w:val="24"/>
          <w:szCs w:val="24"/>
          <w:lang w:val="hr-HR"/>
        </w:rPr>
      </w:pPr>
      <w:r w:rsidRPr="00057951">
        <w:rPr>
          <w:rFonts w:ascii="Times New Roman" w:hAnsi="Times New Roman" w:cs="Times New Roman"/>
          <w:bCs/>
          <w:iCs/>
          <w:sz w:val="24"/>
          <w:szCs w:val="24"/>
          <w:lang w:val="hr-HR"/>
        </w:rPr>
        <w:t>kao potpore za inovacije za MSP-ove temeljem članka 28. Uredbe Komisije (EU) br. 651/2014 te</w:t>
      </w:r>
    </w:p>
    <w:p w14:paraId="348118E9" w14:textId="208687EB" w:rsidR="00600907" w:rsidRPr="00AE0E00" w:rsidRDefault="00AE0E00" w:rsidP="00742B46">
      <w:pPr>
        <w:pStyle w:val="ListParagraph"/>
        <w:numPr>
          <w:ilvl w:val="0"/>
          <w:numId w:val="15"/>
        </w:numPr>
        <w:spacing w:after="0"/>
        <w:jc w:val="both"/>
        <w:rPr>
          <w:rFonts w:ascii="Times New Roman" w:hAnsi="Times New Roman" w:cs="Times New Roman"/>
          <w:bCs/>
          <w:iCs/>
          <w:sz w:val="24"/>
          <w:szCs w:val="24"/>
          <w:lang w:val="hr-HR"/>
        </w:rPr>
      </w:pPr>
      <w:r>
        <w:rPr>
          <w:rFonts w:ascii="Times New Roman" w:hAnsi="Times New Roman" w:cs="Times New Roman"/>
          <w:bCs/>
          <w:iCs/>
          <w:sz w:val="24"/>
          <w:szCs w:val="24"/>
          <w:lang w:val="hr-HR"/>
        </w:rPr>
        <w:t>kao p</w:t>
      </w:r>
      <w:r w:rsidRPr="00AE0E00">
        <w:rPr>
          <w:rFonts w:ascii="Times New Roman" w:hAnsi="Times New Roman" w:cs="Times New Roman"/>
          <w:bCs/>
          <w:iCs/>
          <w:sz w:val="24"/>
          <w:szCs w:val="24"/>
          <w:lang w:val="hr-HR"/>
        </w:rPr>
        <w:t xml:space="preserve">otpore male vrijednosti (de </w:t>
      </w:r>
      <w:proofErr w:type="spellStart"/>
      <w:r w:rsidRPr="00AE0E00">
        <w:rPr>
          <w:rFonts w:ascii="Times New Roman" w:hAnsi="Times New Roman" w:cs="Times New Roman"/>
          <w:bCs/>
          <w:iCs/>
          <w:sz w:val="24"/>
          <w:szCs w:val="24"/>
          <w:lang w:val="hr-HR"/>
        </w:rPr>
        <w:t>minimis</w:t>
      </w:r>
      <w:proofErr w:type="spellEnd"/>
      <w:r w:rsidRPr="00AE0E00">
        <w:rPr>
          <w:rFonts w:ascii="Times New Roman" w:hAnsi="Times New Roman" w:cs="Times New Roman"/>
          <w:bCs/>
          <w:iCs/>
          <w:sz w:val="24"/>
          <w:szCs w:val="24"/>
          <w:lang w:val="hr-HR"/>
        </w:rPr>
        <w:t>) temeljem Uredbe Komisije (EU) br. 1407/2013</w:t>
      </w:r>
      <w:r>
        <w:rPr>
          <w:rFonts w:ascii="Times New Roman" w:hAnsi="Times New Roman" w:cs="Times New Roman"/>
          <w:bCs/>
          <w:iCs/>
          <w:sz w:val="24"/>
          <w:szCs w:val="24"/>
          <w:lang w:val="hr-HR"/>
        </w:rPr>
        <w:t>.</w:t>
      </w:r>
    </w:p>
    <w:p w14:paraId="7F909CE5" w14:textId="77777777" w:rsidR="00B53249" w:rsidRPr="008232D0" w:rsidRDefault="00B53249" w:rsidP="00742B46">
      <w:pPr>
        <w:pStyle w:val="ListParagraph"/>
        <w:spacing w:after="0"/>
        <w:ind w:left="0"/>
        <w:jc w:val="both"/>
        <w:rPr>
          <w:rFonts w:ascii="Times New Roman" w:hAnsi="Times New Roman" w:cs="Times New Roman"/>
          <w:bCs/>
          <w:iCs/>
          <w:sz w:val="18"/>
          <w:szCs w:val="24"/>
          <w:lang w:val="hr-HR"/>
        </w:rPr>
      </w:pPr>
    </w:p>
    <w:p w14:paraId="57A57763" w14:textId="77777777" w:rsidR="00FF02DD" w:rsidRPr="000130D9" w:rsidRDefault="009E38CC" w:rsidP="00742B46">
      <w:pPr>
        <w:pStyle w:val="ListParagraph"/>
        <w:spacing w:after="0"/>
        <w:ind w:left="0"/>
        <w:jc w:val="both"/>
        <w:rPr>
          <w:rFonts w:ascii="Times New Roman" w:hAnsi="Times New Roman" w:cs="Times New Roman"/>
          <w:bCs/>
          <w:iCs/>
          <w:sz w:val="24"/>
          <w:szCs w:val="24"/>
          <w:lang w:val="hr-HR"/>
        </w:rPr>
      </w:pPr>
      <w:r w:rsidRPr="000130D9">
        <w:rPr>
          <w:rFonts w:ascii="Times New Roman" w:hAnsi="Times New Roman" w:cs="Times New Roman"/>
          <w:bCs/>
          <w:iCs/>
          <w:sz w:val="24"/>
          <w:szCs w:val="24"/>
          <w:lang w:val="hr-HR"/>
        </w:rPr>
        <w:t>Postotak</w:t>
      </w:r>
      <w:r w:rsidR="00600907" w:rsidRPr="000130D9">
        <w:rPr>
          <w:rFonts w:ascii="Times New Roman" w:hAnsi="Times New Roman" w:cs="Times New Roman"/>
          <w:bCs/>
          <w:iCs/>
          <w:sz w:val="24"/>
          <w:szCs w:val="24"/>
          <w:lang w:val="hr-HR"/>
        </w:rPr>
        <w:t xml:space="preserve"> (intenzitet)</w:t>
      </w:r>
      <w:r w:rsidRPr="000130D9">
        <w:rPr>
          <w:rFonts w:ascii="Times New Roman" w:hAnsi="Times New Roman" w:cs="Times New Roman"/>
          <w:bCs/>
          <w:iCs/>
          <w:sz w:val="24"/>
          <w:szCs w:val="24"/>
          <w:lang w:val="hr-HR"/>
        </w:rPr>
        <w:t xml:space="preserve"> financiranja iz bespovratnih sredstava na koj</w:t>
      </w:r>
      <w:r w:rsidR="00600907" w:rsidRPr="000130D9">
        <w:rPr>
          <w:rFonts w:ascii="Times New Roman" w:hAnsi="Times New Roman" w:cs="Times New Roman"/>
          <w:bCs/>
          <w:iCs/>
          <w:sz w:val="24"/>
          <w:szCs w:val="24"/>
          <w:lang w:val="hr-HR"/>
        </w:rPr>
        <w:t>i</w:t>
      </w:r>
      <w:r w:rsidRPr="000130D9">
        <w:rPr>
          <w:rFonts w:ascii="Times New Roman" w:hAnsi="Times New Roman" w:cs="Times New Roman"/>
          <w:bCs/>
          <w:iCs/>
          <w:sz w:val="24"/>
          <w:szCs w:val="24"/>
          <w:lang w:val="hr-HR"/>
        </w:rPr>
        <w:t xml:space="preserve"> poduzetnik ima pravo ovisi o vrsti potpore</w:t>
      </w:r>
      <w:r w:rsidR="00FA5EF0" w:rsidRPr="000130D9">
        <w:rPr>
          <w:rFonts w:ascii="Times New Roman" w:hAnsi="Times New Roman" w:cs="Times New Roman"/>
          <w:bCs/>
          <w:iCs/>
          <w:sz w:val="24"/>
          <w:szCs w:val="24"/>
          <w:lang w:val="hr-HR"/>
        </w:rPr>
        <w:t xml:space="preserve"> i</w:t>
      </w:r>
      <w:r w:rsidRPr="000130D9">
        <w:rPr>
          <w:rFonts w:ascii="Times New Roman" w:hAnsi="Times New Roman" w:cs="Times New Roman"/>
          <w:bCs/>
          <w:iCs/>
          <w:sz w:val="24"/>
          <w:szCs w:val="24"/>
          <w:lang w:val="hr-HR"/>
        </w:rPr>
        <w:t xml:space="preserve"> njegovoj veličini (malo</w:t>
      </w:r>
      <w:r w:rsidR="00FA5EF0" w:rsidRPr="000130D9">
        <w:rPr>
          <w:rFonts w:ascii="Times New Roman" w:hAnsi="Times New Roman" w:cs="Times New Roman"/>
          <w:bCs/>
          <w:iCs/>
          <w:sz w:val="24"/>
          <w:szCs w:val="24"/>
          <w:lang w:val="hr-HR"/>
        </w:rPr>
        <w:t xml:space="preserve"> ili</w:t>
      </w:r>
      <w:r w:rsidRPr="000130D9">
        <w:rPr>
          <w:rFonts w:ascii="Times New Roman" w:hAnsi="Times New Roman" w:cs="Times New Roman"/>
          <w:bCs/>
          <w:iCs/>
          <w:sz w:val="24"/>
          <w:szCs w:val="24"/>
          <w:lang w:val="hr-HR"/>
        </w:rPr>
        <w:t xml:space="preserve"> srednje poduzeće) kao što je prikazano u tablici u nastavku:</w:t>
      </w:r>
    </w:p>
    <w:p w14:paraId="01E1FB84" w14:textId="77777777" w:rsidR="009E38CC" w:rsidRPr="00F54EFF" w:rsidRDefault="009E38CC" w:rsidP="00742B46">
      <w:pPr>
        <w:spacing w:after="0"/>
        <w:jc w:val="both"/>
        <w:rPr>
          <w:rFonts w:ascii="Times New Roman" w:eastAsia="Times New Roman" w:hAnsi="Times New Roman" w:cs="Times New Roman"/>
          <w:bCs/>
          <w:sz w:val="16"/>
          <w:szCs w:val="24"/>
          <w:lang w:val="hr-HR"/>
        </w:rPr>
      </w:pPr>
    </w:p>
    <w:tbl>
      <w:tblPr>
        <w:tblStyle w:val="ListTable3-Accent51"/>
        <w:tblW w:w="9067" w:type="dxa"/>
        <w:tblInd w:w="-5" w:type="dxa"/>
        <w:tblLayout w:type="fixed"/>
        <w:tblLook w:val="0000" w:firstRow="0" w:lastRow="0" w:firstColumn="0" w:lastColumn="0" w:noHBand="0" w:noVBand="0"/>
      </w:tblPr>
      <w:tblGrid>
        <w:gridCol w:w="2692"/>
        <w:gridCol w:w="2125"/>
        <w:gridCol w:w="2125"/>
        <w:gridCol w:w="2125"/>
      </w:tblGrid>
      <w:tr w:rsidR="00D86520" w:rsidRPr="00494717" w14:paraId="397AE25C" w14:textId="4521305B" w:rsidTr="00D8652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2692" w:type="dxa"/>
            <w:shd w:val="clear" w:color="auto" w:fill="DBE5F1" w:themeFill="accent1" w:themeFillTint="33"/>
          </w:tcPr>
          <w:p w14:paraId="557AB5AB" w14:textId="77777777" w:rsidR="00D86520" w:rsidRPr="000130D9" w:rsidRDefault="00D86520" w:rsidP="00742B46">
            <w:pPr>
              <w:spacing w:line="276" w:lineRule="auto"/>
              <w:jc w:val="both"/>
              <w:rPr>
                <w:rFonts w:ascii="Times New Roman" w:eastAsia="Times New Roman" w:hAnsi="Times New Roman" w:cs="Times New Roman"/>
                <w:bCs/>
                <w:i/>
                <w:sz w:val="24"/>
                <w:szCs w:val="24"/>
              </w:rPr>
            </w:pPr>
          </w:p>
        </w:tc>
        <w:tc>
          <w:tcPr>
            <w:tcW w:w="2125" w:type="dxa"/>
            <w:shd w:val="clear" w:color="auto" w:fill="DBE5F1" w:themeFill="accent1" w:themeFillTint="33"/>
          </w:tcPr>
          <w:p w14:paraId="5F983C3C" w14:textId="77777777" w:rsidR="00D86520" w:rsidRPr="001E7EF3" w:rsidRDefault="00D86520" w:rsidP="00742B4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sz w:val="24"/>
                <w:szCs w:val="24"/>
              </w:rPr>
            </w:pPr>
            <w:r w:rsidRPr="001E7EF3">
              <w:rPr>
                <w:rFonts w:ascii="Times New Roman" w:eastAsia="Times New Roman" w:hAnsi="Times New Roman" w:cs="Times New Roman"/>
                <w:b/>
                <w:bCs/>
                <w:i/>
                <w:sz w:val="24"/>
                <w:szCs w:val="24"/>
              </w:rPr>
              <w:t xml:space="preserve">Malo </w:t>
            </w:r>
          </w:p>
          <w:p w14:paraId="6E4BB5D7" w14:textId="77777777" w:rsidR="00D86520" w:rsidRPr="001E7EF3" w:rsidRDefault="00D86520" w:rsidP="00742B4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sz w:val="24"/>
                <w:szCs w:val="24"/>
              </w:rPr>
            </w:pPr>
            <w:r w:rsidRPr="001E7EF3">
              <w:rPr>
                <w:rFonts w:ascii="Times New Roman" w:eastAsia="Times New Roman" w:hAnsi="Times New Roman" w:cs="Times New Roman"/>
                <w:b/>
                <w:bCs/>
                <w:i/>
                <w:sz w:val="24"/>
                <w:szCs w:val="24"/>
              </w:rPr>
              <w:t>poduzeće</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DBE5F1" w:themeFill="accent1" w:themeFillTint="33"/>
          </w:tcPr>
          <w:p w14:paraId="53A14FEE" w14:textId="77777777" w:rsidR="00661463" w:rsidRPr="001E7EF3" w:rsidRDefault="00D86520" w:rsidP="00742B46">
            <w:pPr>
              <w:spacing w:line="276" w:lineRule="auto"/>
              <w:jc w:val="both"/>
              <w:rPr>
                <w:rFonts w:ascii="Times New Roman" w:eastAsia="Times New Roman" w:hAnsi="Times New Roman" w:cs="Times New Roman"/>
                <w:b/>
                <w:bCs/>
                <w:i/>
                <w:sz w:val="24"/>
                <w:szCs w:val="24"/>
              </w:rPr>
            </w:pPr>
            <w:r w:rsidRPr="001E7EF3">
              <w:rPr>
                <w:rFonts w:ascii="Times New Roman" w:eastAsia="Times New Roman" w:hAnsi="Times New Roman" w:cs="Times New Roman"/>
                <w:b/>
                <w:bCs/>
                <w:i/>
                <w:sz w:val="24"/>
                <w:szCs w:val="24"/>
              </w:rPr>
              <w:t xml:space="preserve">Srednje </w:t>
            </w:r>
          </w:p>
          <w:p w14:paraId="698BF675" w14:textId="6E8452DF" w:rsidR="00D86520" w:rsidRPr="001E7EF3" w:rsidRDefault="00D86520" w:rsidP="00742B46">
            <w:pPr>
              <w:spacing w:line="276" w:lineRule="auto"/>
              <w:jc w:val="both"/>
              <w:rPr>
                <w:rFonts w:ascii="Times New Roman" w:eastAsia="Times New Roman" w:hAnsi="Times New Roman" w:cs="Times New Roman"/>
                <w:b/>
                <w:bCs/>
                <w:i/>
                <w:sz w:val="24"/>
                <w:szCs w:val="24"/>
              </w:rPr>
            </w:pPr>
            <w:r w:rsidRPr="001E7EF3">
              <w:rPr>
                <w:rFonts w:ascii="Times New Roman" w:eastAsia="Times New Roman" w:hAnsi="Times New Roman" w:cs="Times New Roman"/>
                <w:b/>
                <w:bCs/>
                <w:i/>
                <w:sz w:val="24"/>
                <w:szCs w:val="24"/>
              </w:rPr>
              <w:t>poduzeće</w:t>
            </w:r>
          </w:p>
        </w:tc>
        <w:tc>
          <w:tcPr>
            <w:tcW w:w="2125" w:type="dxa"/>
            <w:shd w:val="clear" w:color="auto" w:fill="DBE5F1" w:themeFill="accent1" w:themeFillTint="33"/>
          </w:tcPr>
          <w:p w14:paraId="656C270D" w14:textId="77777777" w:rsidR="00661463" w:rsidRPr="001E7EF3" w:rsidRDefault="00D86520" w:rsidP="00742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sz w:val="24"/>
                <w:szCs w:val="24"/>
              </w:rPr>
            </w:pPr>
            <w:r w:rsidRPr="001E7EF3">
              <w:rPr>
                <w:rFonts w:ascii="Times New Roman" w:eastAsia="Times New Roman" w:hAnsi="Times New Roman" w:cs="Times New Roman"/>
                <w:b/>
                <w:bCs/>
                <w:i/>
                <w:sz w:val="24"/>
                <w:szCs w:val="24"/>
              </w:rPr>
              <w:t xml:space="preserve">Veliko </w:t>
            </w:r>
          </w:p>
          <w:p w14:paraId="2548E69B" w14:textId="01230940" w:rsidR="00D86520" w:rsidRPr="001E7EF3" w:rsidRDefault="00D86520" w:rsidP="00742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sz w:val="24"/>
                <w:szCs w:val="24"/>
              </w:rPr>
            </w:pPr>
            <w:r w:rsidRPr="001E7EF3">
              <w:rPr>
                <w:rFonts w:ascii="Times New Roman" w:eastAsia="Times New Roman" w:hAnsi="Times New Roman" w:cs="Times New Roman"/>
                <w:b/>
                <w:bCs/>
                <w:i/>
                <w:sz w:val="24"/>
                <w:szCs w:val="24"/>
              </w:rPr>
              <w:t>poduzeće</w:t>
            </w:r>
          </w:p>
        </w:tc>
      </w:tr>
      <w:tr w:rsidR="003E55F0" w:rsidRPr="00494717" w14:paraId="07586845" w14:textId="77777777" w:rsidTr="00D86520">
        <w:trPr>
          <w:trHeight w:val="753"/>
        </w:trPr>
        <w:tc>
          <w:tcPr>
            <w:cnfStyle w:val="000010000000" w:firstRow="0" w:lastRow="0" w:firstColumn="0" w:lastColumn="0" w:oddVBand="1" w:evenVBand="0" w:oddHBand="0" w:evenHBand="0" w:firstRowFirstColumn="0" w:firstRowLastColumn="0" w:lastRowFirstColumn="0" w:lastRowLastColumn="0"/>
            <w:tcW w:w="2692" w:type="dxa"/>
            <w:shd w:val="clear" w:color="auto" w:fill="DBE5F1" w:themeFill="accent1" w:themeFillTint="33"/>
          </w:tcPr>
          <w:p w14:paraId="2B3E47AF" w14:textId="222A6002" w:rsidR="003E55F0" w:rsidRPr="001E7EF3" w:rsidRDefault="003E55F0" w:rsidP="00742B46">
            <w:pPr>
              <w:jc w:val="both"/>
              <w:rPr>
                <w:rFonts w:ascii="Times New Roman" w:eastAsia="Times New Roman" w:hAnsi="Times New Roman" w:cs="Times New Roman"/>
                <w:b/>
                <w:bCs/>
                <w:i/>
                <w:sz w:val="24"/>
                <w:szCs w:val="24"/>
              </w:rPr>
            </w:pPr>
            <w:r w:rsidRPr="001E7EF3">
              <w:rPr>
                <w:rFonts w:ascii="Times New Roman" w:eastAsia="Times New Roman" w:hAnsi="Times New Roman" w:cs="Times New Roman"/>
                <w:b/>
                <w:bCs/>
                <w:i/>
                <w:sz w:val="24"/>
                <w:szCs w:val="24"/>
              </w:rPr>
              <w:t>Projekti istraživanja i razvoja - Temeljno istraživanje</w:t>
            </w:r>
          </w:p>
        </w:tc>
        <w:tc>
          <w:tcPr>
            <w:tcW w:w="2125" w:type="dxa"/>
            <w:shd w:val="clear" w:color="auto" w:fill="auto"/>
          </w:tcPr>
          <w:p w14:paraId="51CE851C" w14:textId="77777777" w:rsidR="003E55F0" w:rsidRDefault="003E55F0" w:rsidP="00742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4"/>
                <w:szCs w:val="24"/>
              </w:rPr>
            </w:pPr>
          </w:p>
          <w:p w14:paraId="0F50BD4D" w14:textId="73145A03" w:rsidR="003E55F0" w:rsidRPr="000130D9" w:rsidRDefault="003E55F0" w:rsidP="00742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100%</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auto"/>
          </w:tcPr>
          <w:p w14:paraId="7AD56FE4" w14:textId="77777777" w:rsidR="003E55F0" w:rsidRDefault="003E55F0" w:rsidP="00742B46">
            <w:pPr>
              <w:jc w:val="both"/>
              <w:rPr>
                <w:rFonts w:ascii="Times New Roman" w:eastAsia="Times New Roman" w:hAnsi="Times New Roman" w:cs="Times New Roman"/>
                <w:bCs/>
                <w:i/>
                <w:sz w:val="24"/>
                <w:szCs w:val="24"/>
              </w:rPr>
            </w:pPr>
          </w:p>
          <w:p w14:paraId="277ADED8" w14:textId="6ECE0CF0" w:rsidR="003E55F0" w:rsidRPr="000130D9" w:rsidRDefault="003E55F0" w:rsidP="00742B46">
            <w:pPr>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100%</w:t>
            </w:r>
          </w:p>
        </w:tc>
        <w:tc>
          <w:tcPr>
            <w:tcW w:w="2125" w:type="dxa"/>
          </w:tcPr>
          <w:p w14:paraId="69326D2B" w14:textId="77777777" w:rsidR="003E55F0" w:rsidRDefault="003E55F0" w:rsidP="00742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4"/>
                <w:szCs w:val="24"/>
              </w:rPr>
            </w:pPr>
          </w:p>
          <w:p w14:paraId="2FC3D894" w14:textId="71D34A19" w:rsidR="003E55F0" w:rsidRDefault="003E55F0" w:rsidP="00742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100%</w:t>
            </w:r>
          </w:p>
        </w:tc>
      </w:tr>
      <w:tr w:rsidR="00D86520" w:rsidRPr="00494717" w14:paraId="599C16F6" w14:textId="78C39016" w:rsidTr="00D86520">
        <w:trPr>
          <w:cnfStyle w:val="000000100000" w:firstRow="0" w:lastRow="0" w:firstColumn="0" w:lastColumn="0" w:oddVBand="0" w:evenVBand="0" w:oddHBand="1" w:evenHBand="0" w:firstRowFirstColumn="0" w:firstRowLastColumn="0" w:lastRowFirstColumn="0" w:lastRowLastColumn="0"/>
          <w:trHeight w:val="753"/>
        </w:trPr>
        <w:tc>
          <w:tcPr>
            <w:cnfStyle w:val="000010000000" w:firstRow="0" w:lastRow="0" w:firstColumn="0" w:lastColumn="0" w:oddVBand="1" w:evenVBand="0" w:oddHBand="0" w:evenHBand="0" w:firstRowFirstColumn="0" w:firstRowLastColumn="0" w:lastRowFirstColumn="0" w:lastRowLastColumn="0"/>
            <w:tcW w:w="2692" w:type="dxa"/>
            <w:shd w:val="clear" w:color="auto" w:fill="DBE5F1" w:themeFill="accent1" w:themeFillTint="33"/>
          </w:tcPr>
          <w:p w14:paraId="3A4AC6ED" w14:textId="77777777" w:rsidR="00D86520" w:rsidRPr="001E7EF3" w:rsidRDefault="00D86520" w:rsidP="00742B46">
            <w:pPr>
              <w:spacing w:line="276" w:lineRule="auto"/>
              <w:jc w:val="both"/>
              <w:rPr>
                <w:rFonts w:ascii="Times New Roman" w:eastAsia="Times New Roman" w:hAnsi="Times New Roman" w:cs="Times New Roman"/>
                <w:b/>
                <w:bCs/>
                <w:i/>
                <w:sz w:val="24"/>
                <w:szCs w:val="24"/>
              </w:rPr>
            </w:pPr>
            <w:r w:rsidRPr="001E7EF3">
              <w:rPr>
                <w:rFonts w:ascii="Times New Roman" w:eastAsia="Times New Roman" w:hAnsi="Times New Roman" w:cs="Times New Roman"/>
                <w:b/>
                <w:bCs/>
                <w:i/>
                <w:sz w:val="24"/>
                <w:szCs w:val="24"/>
              </w:rPr>
              <w:t>Projekti istraživanja i razvoja - Industrijsko istraživanje</w:t>
            </w:r>
          </w:p>
        </w:tc>
        <w:tc>
          <w:tcPr>
            <w:tcW w:w="2125" w:type="dxa"/>
            <w:shd w:val="clear" w:color="auto" w:fill="auto"/>
          </w:tcPr>
          <w:p w14:paraId="3E46E0B3" w14:textId="630518D9" w:rsidR="00B60F48" w:rsidRPr="00B60F48" w:rsidRDefault="00B60F48" w:rsidP="00742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4"/>
                <w:szCs w:val="24"/>
              </w:rPr>
            </w:pPr>
            <w:r w:rsidRPr="00B60F48">
              <w:rPr>
                <w:rFonts w:ascii="Times New Roman" w:eastAsia="Times New Roman" w:hAnsi="Times New Roman" w:cs="Times New Roman"/>
                <w:bCs/>
                <w:i/>
                <w:sz w:val="24"/>
                <w:szCs w:val="24"/>
              </w:rPr>
              <w:t>70%</w:t>
            </w:r>
          </w:p>
          <w:p w14:paraId="6F5B5312" w14:textId="77805782" w:rsidR="00B60F48" w:rsidRDefault="00B60F48" w:rsidP="00742B4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4"/>
                <w:szCs w:val="24"/>
              </w:rPr>
            </w:pPr>
            <w:r w:rsidRPr="00B60F48">
              <w:rPr>
                <w:rFonts w:ascii="Times New Roman" w:eastAsia="Times New Roman" w:hAnsi="Times New Roman" w:cs="Times New Roman"/>
                <w:bCs/>
                <w:i/>
                <w:sz w:val="24"/>
                <w:szCs w:val="24"/>
              </w:rPr>
              <w:t>70+15=85, ali je</w:t>
            </w:r>
          </w:p>
          <w:p w14:paraId="5DB5F960" w14:textId="11AA044D" w:rsidR="00D86520" w:rsidRPr="000130D9" w:rsidRDefault="00B60F48" w:rsidP="00742B4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4"/>
                <w:szCs w:val="24"/>
              </w:rPr>
            </w:pPr>
            <w:proofErr w:type="spellStart"/>
            <w:r w:rsidRPr="00B60F48">
              <w:rPr>
                <w:rFonts w:ascii="Times New Roman" w:eastAsia="Times New Roman" w:hAnsi="Times New Roman" w:cs="Times New Roman"/>
                <w:bCs/>
                <w:i/>
                <w:sz w:val="24"/>
                <w:szCs w:val="24"/>
              </w:rPr>
              <w:t>max</w:t>
            </w:r>
            <w:proofErr w:type="spellEnd"/>
            <w:r w:rsidRPr="00B60F48">
              <w:rPr>
                <w:rFonts w:ascii="Times New Roman" w:eastAsia="Times New Roman" w:hAnsi="Times New Roman" w:cs="Times New Roman"/>
                <w:bCs/>
                <w:i/>
                <w:sz w:val="24"/>
                <w:szCs w:val="24"/>
              </w:rPr>
              <w:t xml:space="preserve"> 80%</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auto"/>
          </w:tcPr>
          <w:p w14:paraId="6758934A" w14:textId="3C38D009" w:rsidR="006B454B" w:rsidRDefault="006B454B" w:rsidP="00742B46">
            <w:pPr>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60%</w:t>
            </w:r>
          </w:p>
          <w:p w14:paraId="38268277" w14:textId="77777777" w:rsidR="00661463" w:rsidRPr="006B454B" w:rsidRDefault="00661463" w:rsidP="00742B46">
            <w:pPr>
              <w:jc w:val="both"/>
              <w:rPr>
                <w:rFonts w:ascii="Times New Roman" w:eastAsia="Times New Roman" w:hAnsi="Times New Roman" w:cs="Times New Roman"/>
                <w:bCs/>
                <w:i/>
                <w:sz w:val="24"/>
                <w:szCs w:val="24"/>
              </w:rPr>
            </w:pPr>
          </w:p>
          <w:p w14:paraId="326B4E00" w14:textId="4C177D90" w:rsidR="00D86520" w:rsidRPr="000130D9" w:rsidRDefault="006B454B" w:rsidP="00742B46">
            <w:pPr>
              <w:spacing w:line="276" w:lineRule="auto"/>
              <w:jc w:val="both"/>
              <w:rPr>
                <w:rFonts w:ascii="Times New Roman" w:eastAsia="Times New Roman" w:hAnsi="Times New Roman" w:cs="Times New Roman"/>
                <w:bCs/>
                <w:i/>
                <w:sz w:val="24"/>
                <w:szCs w:val="24"/>
              </w:rPr>
            </w:pPr>
            <w:r w:rsidRPr="006B454B">
              <w:rPr>
                <w:rFonts w:ascii="Times New Roman" w:eastAsia="Times New Roman" w:hAnsi="Times New Roman" w:cs="Times New Roman"/>
                <w:bCs/>
                <w:i/>
                <w:sz w:val="24"/>
                <w:szCs w:val="24"/>
              </w:rPr>
              <w:t xml:space="preserve">60+15= </w:t>
            </w:r>
            <w:proofErr w:type="spellStart"/>
            <w:r w:rsidRPr="006B454B">
              <w:rPr>
                <w:rFonts w:ascii="Times New Roman" w:eastAsia="Times New Roman" w:hAnsi="Times New Roman" w:cs="Times New Roman"/>
                <w:bCs/>
                <w:i/>
                <w:sz w:val="24"/>
                <w:szCs w:val="24"/>
              </w:rPr>
              <w:t>max</w:t>
            </w:r>
            <w:proofErr w:type="spellEnd"/>
            <w:r w:rsidRPr="006B454B">
              <w:rPr>
                <w:rFonts w:ascii="Times New Roman" w:eastAsia="Times New Roman" w:hAnsi="Times New Roman" w:cs="Times New Roman"/>
                <w:bCs/>
                <w:i/>
                <w:sz w:val="24"/>
                <w:szCs w:val="24"/>
              </w:rPr>
              <w:t xml:space="preserve"> 75%</w:t>
            </w:r>
          </w:p>
        </w:tc>
        <w:tc>
          <w:tcPr>
            <w:tcW w:w="2125" w:type="dxa"/>
          </w:tcPr>
          <w:p w14:paraId="45098C87" w14:textId="135C4768" w:rsidR="006B454B" w:rsidRDefault="006B454B" w:rsidP="00742B4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C40BE2">
              <w:rPr>
                <w:rFonts w:ascii="Times New Roman" w:hAnsi="Times New Roman" w:cs="Times New Roman"/>
                <w:bCs/>
                <w:i/>
                <w:sz w:val="24"/>
                <w:szCs w:val="24"/>
              </w:rPr>
              <w:t>50%</w:t>
            </w:r>
          </w:p>
          <w:p w14:paraId="3867DB23" w14:textId="77777777" w:rsidR="00661463" w:rsidRPr="00C40BE2" w:rsidRDefault="00661463" w:rsidP="00742B4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p>
          <w:p w14:paraId="017B9CA6" w14:textId="1A60EC77" w:rsidR="00D86520" w:rsidRPr="000130D9" w:rsidRDefault="006B454B" w:rsidP="00742B4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4"/>
                <w:szCs w:val="24"/>
              </w:rPr>
            </w:pPr>
            <w:r w:rsidRPr="00C40BE2">
              <w:rPr>
                <w:rFonts w:ascii="Times New Roman" w:hAnsi="Times New Roman" w:cs="Times New Roman"/>
                <w:bCs/>
                <w:i/>
                <w:sz w:val="24"/>
                <w:szCs w:val="24"/>
              </w:rPr>
              <w:t>50+15=</w:t>
            </w:r>
            <w:r>
              <w:rPr>
                <w:rFonts w:ascii="Times New Roman" w:hAnsi="Times New Roman" w:cs="Times New Roman"/>
                <w:bCs/>
                <w:i/>
                <w:sz w:val="24"/>
                <w:szCs w:val="24"/>
              </w:rPr>
              <w:t xml:space="preserve"> </w:t>
            </w:r>
            <w:proofErr w:type="spellStart"/>
            <w:r w:rsidRPr="006B454B">
              <w:rPr>
                <w:rFonts w:ascii="Times New Roman" w:hAnsi="Times New Roman" w:cs="Times New Roman"/>
                <w:bCs/>
                <w:i/>
                <w:sz w:val="24"/>
                <w:szCs w:val="24"/>
              </w:rPr>
              <w:t>max</w:t>
            </w:r>
            <w:proofErr w:type="spellEnd"/>
            <w:r w:rsidRPr="006B454B">
              <w:rPr>
                <w:rFonts w:ascii="Times New Roman" w:hAnsi="Times New Roman" w:cs="Times New Roman"/>
                <w:bCs/>
                <w:i/>
                <w:sz w:val="24"/>
                <w:szCs w:val="24"/>
              </w:rPr>
              <w:t xml:space="preserve"> 65%</w:t>
            </w:r>
          </w:p>
        </w:tc>
      </w:tr>
      <w:tr w:rsidR="00057951" w:rsidRPr="00494717" w14:paraId="40D0FC41" w14:textId="77777777" w:rsidTr="00D86520">
        <w:trPr>
          <w:trHeight w:val="753"/>
        </w:trPr>
        <w:tc>
          <w:tcPr>
            <w:cnfStyle w:val="000010000000" w:firstRow="0" w:lastRow="0" w:firstColumn="0" w:lastColumn="0" w:oddVBand="1" w:evenVBand="0" w:oddHBand="0" w:evenHBand="0" w:firstRowFirstColumn="0" w:firstRowLastColumn="0" w:lastRowFirstColumn="0" w:lastRowLastColumn="0"/>
            <w:tcW w:w="2692" w:type="dxa"/>
            <w:shd w:val="clear" w:color="auto" w:fill="DBE5F1" w:themeFill="accent1" w:themeFillTint="33"/>
          </w:tcPr>
          <w:p w14:paraId="29CD306C" w14:textId="736DDC9C" w:rsidR="00057951" w:rsidRPr="001E7EF3" w:rsidRDefault="00057951" w:rsidP="00742B46">
            <w:pPr>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Potpore za inovacije</w:t>
            </w:r>
          </w:p>
        </w:tc>
        <w:tc>
          <w:tcPr>
            <w:tcW w:w="2125" w:type="dxa"/>
            <w:shd w:val="clear" w:color="auto" w:fill="auto"/>
          </w:tcPr>
          <w:p w14:paraId="3FC76598" w14:textId="3BF82899" w:rsidR="00057951" w:rsidRPr="00B60F48" w:rsidRDefault="00057951" w:rsidP="00742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50%</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auto"/>
          </w:tcPr>
          <w:p w14:paraId="5F914133" w14:textId="659A49AE" w:rsidR="00057951" w:rsidRDefault="00057951" w:rsidP="00742B46">
            <w:pPr>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50%</w:t>
            </w:r>
          </w:p>
        </w:tc>
        <w:tc>
          <w:tcPr>
            <w:tcW w:w="2125" w:type="dxa"/>
          </w:tcPr>
          <w:p w14:paraId="627F1838" w14:textId="59730016" w:rsidR="00057951" w:rsidRPr="00C40BE2" w:rsidRDefault="00057951" w:rsidP="00742B4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Pr>
                <w:rFonts w:ascii="Times New Roman" w:hAnsi="Times New Roman" w:cs="Times New Roman"/>
                <w:bCs/>
                <w:i/>
                <w:sz w:val="24"/>
                <w:szCs w:val="24"/>
              </w:rPr>
              <w:t>n/p</w:t>
            </w:r>
          </w:p>
        </w:tc>
      </w:tr>
      <w:tr w:rsidR="00D86520" w:rsidRPr="00494717" w14:paraId="15DF8FB9" w14:textId="7E353B22" w:rsidTr="00D86520">
        <w:trPr>
          <w:cnfStyle w:val="000000100000" w:firstRow="0" w:lastRow="0" w:firstColumn="0" w:lastColumn="0" w:oddVBand="0" w:evenVBand="0" w:oddHBand="1" w:evenHBand="0" w:firstRowFirstColumn="0" w:firstRowLastColumn="0" w:lastRowFirstColumn="0" w:lastRowLastColumn="0"/>
          <w:trHeight w:val="597"/>
        </w:trPr>
        <w:tc>
          <w:tcPr>
            <w:cnfStyle w:val="000010000000" w:firstRow="0" w:lastRow="0" w:firstColumn="0" w:lastColumn="0" w:oddVBand="1" w:evenVBand="0" w:oddHBand="0" w:evenHBand="0" w:firstRowFirstColumn="0" w:firstRowLastColumn="0" w:lastRowFirstColumn="0" w:lastRowLastColumn="0"/>
            <w:tcW w:w="2692" w:type="dxa"/>
            <w:shd w:val="clear" w:color="auto" w:fill="DBE5F1" w:themeFill="accent1" w:themeFillTint="33"/>
          </w:tcPr>
          <w:p w14:paraId="5429C7B6" w14:textId="1D8ECD15" w:rsidR="00D86520" w:rsidRPr="001E7EF3" w:rsidRDefault="00D86520" w:rsidP="00742B46">
            <w:pPr>
              <w:spacing w:line="276" w:lineRule="auto"/>
              <w:jc w:val="both"/>
              <w:rPr>
                <w:rFonts w:ascii="Times New Roman" w:eastAsia="Times New Roman" w:hAnsi="Times New Roman" w:cs="Times New Roman"/>
                <w:b/>
                <w:bCs/>
                <w:i/>
                <w:sz w:val="24"/>
                <w:szCs w:val="24"/>
              </w:rPr>
            </w:pPr>
            <w:r w:rsidRPr="001E7EF3">
              <w:rPr>
                <w:rFonts w:ascii="Times New Roman" w:hAnsi="Times New Roman" w:cs="Times New Roman"/>
                <w:b/>
                <w:i/>
                <w:sz w:val="24"/>
                <w:szCs w:val="24"/>
              </w:rPr>
              <w:t xml:space="preserve">Potpore male vrijednosti (de </w:t>
            </w:r>
            <w:proofErr w:type="spellStart"/>
            <w:r w:rsidRPr="001E7EF3">
              <w:rPr>
                <w:rFonts w:ascii="Times New Roman" w:hAnsi="Times New Roman" w:cs="Times New Roman"/>
                <w:b/>
                <w:i/>
                <w:sz w:val="24"/>
                <w:szCs w:val="24"/>
              </w:rPr>
              <w:t>minimis</w:t>
            </w:r>
            <w:proofErr w:type="spellEnd"/>
            <w:r w:rsidRPr="001E7EF3">
              <w:rPr>
                <w:rFonts w:ascii="Times New Roman" w:hAnsi="Times New Roman" w:cs="Times New Roman"/>
                <w:b/>
                <w:i/>
                <w:sz w:val="24"/>
                <w:szCs w:val="24"/>
              </w:rPr>
              <w:t>)</w:t>
            </w:r>
          </w:p>
        </w:tc>
        <w:tc>
          <w:tcPr>
            <w:tcW w:w="2125" w:type="dxa"/>
            <w:shd w:val="clear" w:color="auto" w:fill="auto"/>
          </w:tcPr>
          <w:p w14:paraId="6092426F" w14:textId="77777777" w:rsidR="006B454B" w:rsidRDefault="006B454B" w:rsidP="00742B4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14:paraId="61DF83FB" w14:textId="25FD982F" w:rsidR="00D86520" w:rsidRPr="000130D9" w:rsidRDefault="00D86520" w:rsidP="00742B4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4"/>
                <w:szCs w:val="24"/>
              </w:rPr>
            </w:pPr>
            <w:r>
              <w:rPr>
                <w:rFonts w:ascii="Times New Roman" w:hAnsi="Times New Roman" w:cs="Times New Roman"/>
                <w:i/>
                <w:sz w:val="24"/>
                <w:szCs w:val="24"/>
              </w:rPr>
              <w:t>75</w:t>
            </w:r>
            <w:r w:rsidRPr="000130D9">
              <w:rPr>
                <w:rFonts w:ascii="Times New Roman" w:hAnsi="Times New Roman" w:cs="Times New Roman"/>
                <w:i/>
                <w:sz w:val="24"/>
                <w:szCs w:val="24"/>
              </w:rPr>
              <w:t>%</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auto"/>
          </w:tcPr>
          <w:p w14:paraId="660B82C0" w14:textId="77777777" w:rsidR="006B454B" w:rsidRDefault="006B454B" w:rsidP="00742B46">
            <w:pPr>
              <w:spacing w:line="276" w:lineRule="auto"/>
              <w:jc w:val="both"/>
              <w:rPr>
                <w:rFonts w:ascii="Times New Roman" w:hAnsi="Times New Roman" w:cs="Times New Roman"/>
                <w:i/>
                <w:sz w:val="24"/>
                <w:szCs w:val="24"/>
              </w:rPr>
            </w:pPr>
          </w:p>
          <w:p w14:paraId="56D71F7B" w14:textId="163F27E4" w:rsidR="00D86520" w:rsidRPr="000130D9" w:rsidRDefault="00D86520" w:rsidP="00742B46">
            <w:pPr>
              <w:spacing w:line="276" w:lineRule="auto"/>
              <w:jc w:val="both"/>
              <w:rPr>
                <w:rFonts w:ascii="Times New Roman" w:eastAsia="Times New Roman" w:hAnsi="Times New Roman" w:cs="Times New Roman"/>
                <w:bCs/>
                <w:i/>
                <w:sz w:val="24"/>
                <w:szCs w:val="24"/>
              </w:rPr>
            </w:pPr>
            <w:r>
              <w:rPr>
                <w:rFonts w:ascii="Times New Roman" w:hAnsi="Times New Roman" w:cs="Times New Roman"/>
                <w:i/>
                <w:sz w:val="24"/>
                <w:szCs w:val="24"/>
              </w:rPr>
              <w:t>75</w:t>
            </w:r>
            <w:r w:rsidRPr="000130D9">
              <w:rPr>
                <w:rFonts w:ascii="Times New Roman" w:hAnsi="Times New Roman" w:cs="Times New Roman"/>
                <w:i/>
                <w:sz w:val="24"/>
                <w:szCs w:val="24"/>
              </w:rPr>
              <w:t>%</w:t>
            </w:r>
          </w:p>
        </w:tc>
        <w:tc>
          <w:tcPr>
            <w:tcW w:w="2125" w:type="dxa"/>
          </w:tcPr>
          <w:p w14:paraId="62A3E533" w14:textId="77777777" w:rsidR="006B454B" w:rsidRDefault="006B454B" w:rsidP="00742B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14:paraId="5B2A7559" w14:textId="594ECF41" w:rsidR="00D86520" w:rsidRPr="000130D9" w:rsidRDefault="00D86520" w:rsidP="00742B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75</w:t>
            </w:r>
            <w:r w:rsidRPr="000130D9">
              <w:rPr>
                <w:rFonts w:ascii="Times New Roman" w:hAnsi="Times New Roman" w:cs="Times New Roman"/>
                <w:i/>
                <w:sz w:val="24"/>
                <w:szCs w:val="24"/>
              </w:rPr>
              <w:t>%</w:t>
            </w:r>
          </w:p>
        </w:tc>
      </w:tr>
    </w:tbl>
    <w:p w14:paraId="62BC30F6" w14:textId="77777777" w:rsidR="00FF02DD" w:rsidRPr="000130D9" w:rsidRDefault="00FF02DD" w:rsidP="00742B46">
      <w:pPr>
        <w:pStyle w:val="ListParagraph"/>
        <w:spacing w:after="0"/>
        <w:ind w:left="0"/>
        <w:jc w:val="both"/>
        <w:rPr>
          <w:rFonts w:ascii="Times New Roman" w:hAnsi="Times New Roman" w:cs="Times New Roman"/>
          <w:u w:val="single"/>
          <w:lang w:val="hr-HR" w:bidi="hr-HR"/>
        </w:rPr>
      </w:pPr>
    </w:p>
    <w:p w14:paraId="68AF3092" w14:textId="27698F14" w:rsidR="0080310D" w:rsidRPr="000130D9" w:rsidRDefault="000553C8" w:rsidP="00742B46">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Prihvatljivi troškovi definirani su u Uputama za prijavitelje (</w:t>
      </w:r>
      <w:r w:rsidR="00057951">
        <w:rPr>
          <w:rFonts w:ascii="Times New Roman" w:hAnsi="Times New Roman" w:cs="Times New Roman"/>
          <w:sz w:val="24"/>
          <w:szCs w:val="24"/>
          <w:lang w:val="hr-HR" w:bidi="hr-HR"/>
        </w:rPr>
        <w:t>poglavlje</w:t>
      </w:r>
      <w:r w:rsidRPr="000130D9">
        <w:rPr>
          <w:rFonts w:ascii="Times New Roman" w:hAnsi="Times New Roman" w:cs="Times New Roman"/>
          <w:sz w:val="24"/>
          <w:szCs w:val="24"/>
          <w:lang w:val="hr-HR" w:bidi="hr-HR"/>
        </w:rPr>
        <w:t xml:space="preserve"> 2</w:t>
      </w:r>
      <w:r w:rsidR="0080310D" w:rsidRPr="000130D9">
        <w:rPr>
          <w:rFonts w:ascii="Times New Roman" w:hAnsi="Times New Roman" w:cs="Times New Roman"/>
          <w:sz w:val="24"/>
          <w:szCs w:val="24"/>
          <w:lang w:val="hr-HR" w:bidi="hr-HR"/>
        </w:rPr>
        <w:t>.10</w:t>
      </w:r>
      <w:r w:rsidR="006B454B">
        <w:rPr>
          <w:rFonts w:ascii="Times New Roman" w:hAnsi="Times New Roman" w:cs="Times New Roman"/>
          <w:sz w:val="24"/>
          <w:szCs w:val="24"/>
          <w:lang w:val="hr-HR" w:bidi="hr-HR"/>
        </w:rPr>
        <w:t>.</w:t>
      </w:r>
      <w:r w:rsidR="0080310D" w:rsidRPr="000130D9">
        <w:rPr>
          <w:rFonts w:ascii="Times New Roman" w:hAnsi="Times New Roman" w:cs="Times New Roman"/>
          <w:sz w:val="24"/>
          <w:szCs w:val="24"/>
          <w:lang w:val="hr-HR" w:bidi="hr-HR"/>
        </w:rPr>
        <w:t xml:space="preserve"> </w:t>
      </w:r>
      <w:r w:rsidRPr="000130D9">
        <w:rPr>
          <w:rFonts w:ascii="Times New Roman" w:hAnsi="Times New Roman" w:cs="Times New Roman"/>
          <w:sz w:val="24"/>
          <w:szCs w:val="24"/>
          <w:lang w:val="hr-HR" w:bidi="hr-HR"/>
        </w:rPr>
        <w:t>Prihvatljive kategorije troškova</w:t>
      </w:r>
      <w:r w:rsidR="00D65CA0">
        <w:rPr>
          <w:rFonts w:ascii="Times New Roman" w:hAnsi="Times New Roman" w:cs="Times New Roman"/>
          <w:sz w:val="24"/>
          <w:szCs w:val="24"/>
          <w:lang w:val="hr-HR" w:bidi="hr-HR"/>
        </w:rPr>
        <w:t>)</w:t>
      </w:r>
      <w:r w:rsidR="0080310D" w:rsidRPr="000130D9">
        <w:rPr>
          <w:rFonts w:ascii="Times New Roman" w:hAnsi="Times New Roman" w:cs="Times New Roman"/>
          <w:sz w:val="24"/>
          <w:szCs w:val="24"/>
          <w:lang w:val="hr-HR" w:bidi="hr-HR"/>
        </w:rPr>
        <w:t xml:space="preserve">. </w:t>
      </w:r>
    </w:p>
    <w:p w14:paraId="23E73DC3" w14:textId="77777777" w:rsidR="0062645B" w:rsidRPr="000130D9" w:rsidRDefault="0062645B" w:rsidP="00742B46">
      <w:pPr>
        <w:pStyle w:val="ListParagraph"/>
        <w:ind w:left="0"/>
        <w:jc w:val="both"/>
        <w:rPr>
          <w:rFonts w:ascii="Times New Roman" w:hAnsi="Times New Roman" w:cs="Times New Roman"/>
          <w:u w:val="single"/>
          <w:lang w:val="hr-HR" w:bidi="hr-HR"/>
        </w:rPr>
      </w:pPr>
    </w:p>
    <w:p w14:paraId="762CA5CF" w14:textId="48FAD489" w:rsidR="00804DCA" w:rsidRDefault="0062645B" w:rsidP="00742B46">
      <w:pPr>
        <w:pStyle w:val="Heading2"/>
        <w:numPr>
          <w:ilvl w:val="0"/>
          <w:numId w:val="0"/>
        </w:numPr>
        <w:spacing w:before="0" w:line="240" w:lineRule="auto"/>
        <w:ind w:left="576" w:hanging="576"/>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Učinak poticaja</w:t>
      </w:r>
    </w:p>
    <w:p w14:paraId="59B870B2" w14:textId="77777777" w:rsidR="00804DCA" w:rsidRPr="00804DCA" w:rsidRDefault="00804DCA" w:rsidP="00742B46">
      <w:pPr>
        <w:spacing w:after="0"/>
        <w:jc w:val="both"/>
        <w:rPr>
          <w:sz w:val="14"/>
          <w:lang w:val="hr-HR" w:bidi="hr-HR"/>
        </w:rPr>
      </w:pPr>
    </w:p>
    <w:p w14:paraId="212C90FC" w14:textId="77777777" w:rsidR="0062645B" w:rsidRPr="000130D9" w:rsidRDefault="0062645B" w:rsidP="00742B46">
      <w:pPr>
        <w:pStyle w:val="ListParagraph"/>
        <w:spacing w:after="0" w:line="240" w:lineRule="auto"/>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Državna potpora za istraživanje, razvoj i inovacije može biti dodijeljena samo ukoliko ima učinak poticaja, što znači da ne smije biti dodijeljena za aktivnosti koje bi poduzetnik provodio i da nema potpore. </w:t>
      </w:r>
    </w:p>
    <w:p w14:paraId="5E6BFF60" w14:textId="77777777" w:rsidR="00604B9F" w:rsidRDefault="00604B9F" w:rsidP="00742B46">
      <w:pPr>
        <w:pStyle w:val="ListParagraph"/>
        <w:spacing w:after="0"/>
        <w:ind w:left="0"/>
        <w:jc w:val="both"/>
        <w:rPr>
          <w:rFonts w:ascii="Times New Roman" w:hAnsi="Times New Roman" w:cs="Times New Roman"/>
          <w:sz w:val="24"/>
          <w:szCs w:val="24"/>
          <w:lang w:val="hr-HR" w:bidi="hr-HR"/>
        </w:rPr>
      </w:pPr>
    </w:p>
    <w:p w14:paraId="45C2CD2B" w14:textId="22D756B7" w:rsidR="0062645B" w:rsidRPr="00213C96" w:rsidRDefault="0062645B" w:rsidP="00742B46">
      <w:pPr>
        <w:pStyle w:val="ListParagraph"/>
        <w:spacing w:after="0"/>
        <w:ind w:left="0"/>
        <w:jc w:val="both"/>
        <w:rPr>
          <w:rFonts w:ascii="Times New Roman" w:hAnsi="Times New Roman" w:cs="Times New Roman"/>
          <w:bCs/>
          <w:iCs/>
          <w:sz w:val="24"/>
          <w:szCs w:val="24"/>
          <w:lang w:val="hr-HR"/>
        </w:rPr>
      </w:pPr>
      <w:r w:rsidRPr="000130D9">
        <w:rPr>
          <w:rFonts w:ascii="Times New Roman" w:hAnsi="Times New Roman" w:cs="Times New Roman"/>
          <w:sz w:val="24"/>
          <w:szCs w:val="24"/>
          <w:lang w:val="hr-HR" w:bidi="hr-HR"/>
        </w:rPr>
        <w:t xml:space="preserve">U </w:t>
      </w:r>
      <w:r w:rsidRPr="00C37EEE">
        <w:rPr>
          <w:rFonts w:ascii="Times New Roman" w:hAnsi="Times New Roman" w:cs="Times New Roman"/>
          <w:sz w:val="24"/>
          <w:szCs w:val="24"/>
          <w:lang w:val="hr-HR" w:bidi="hr-HR"/>
        </w:rPr>
        <w:t>skladu s</w:t>
      </w:r>
      <w:r w:rsidR="00957622">
        <w:rPr>
          <w:rFonts w:ascii="Times New Roman" w:hAnsi="Times New Roman" w:cs="Times New Roman"/>
          <w:sz w:val="24"/>
          <w:szCs w:val="24"/>
          <w:lang w:val="hr-HR" w:bidi="hr-HR"/>
        </w:rPr>
        <w:t>a</w:t>
      </w:r>
      <w:r w:rsidRPr="00C37EEE">
        <w:rPr>
          <w:rFonts w:ascii="Times New Roman" w:hAnsi="Times New Roman" w:cs="Times New Roman"/>
          <w:sz w:val="24"/>
          <w:szCs w:val="24"/>
          <w:lang w:val="hr-HR" w:bidi="hr-HR"/>
        </w:rPr>
        <w:t xml:space="preserve"> člankom </w:t>
      </w:r>
      <w:r w:rsidR="00213C96">
        <w:rPr>
          <w:rFonts w:ascii="Times New Roman" w:hAnsi="Times New Roman" w:cs="Times New Roman"/>
          <w:sz w:val="24"/>
          <w:szCs w:val="24"/>
          <w:lang w:val="hr-HR" w:bidi="hr-HR"/>
        </w:rPr>
        <w:t>11</w:t>
      </w:r>
      <w:r w:rsidR="00202CC2" w:rsidRPr="00C37EEE">
        <w:rPr>
          <w:rFonts w:ascii="Times New Roman" w:hAnsi="Times New Roman" w:cs="Times New Roman"/>
          <w:sz w:val="24"/>
          <w:szCs w:val="24"/>
          <w:lang w:val="hr-HR" w:bidi="hr-HR"/>
        </w:rPr>
        <w:t xml:space="preserve">. </w:t>
      </w:r>
      <w:r w:rsidR="00202CC2" w:rsidRPr="00C37EEE">
        <w:rPr>
          <w:rFonts w:ascii="Times New Roman" w:hAnsi="Times New Roman" w:cs="Times New Roman"/>
          <w:bCs/>
          <w:iCs/>
          <w:sz w:val="24"/>
          <w:szCs w:val="24"/>
          <w:lang w:val="hr-HR"/>
        </w:rPr>
        <w:t>Programa dodjele</w:t>
      </w:r>
      <w:r w:rsidR="0080310D" w:rsidRPr="00C37EEE">
        <w:rPr>
          <w:rFonts w:ascii="Times New Roman" w:hAnsi="Times New Roman" w:cs="Times New Roman"/>
          <w:bCs/>
          <w:iCs/>
          <w:sz w:val="24"/>
          <w:szCs w:val="24"/>
          <w:lang w:val="hr-HR"/>
        </w:rPr>
        <w:t xml:space="preserve"> državnih potpora</w:t>
      </w:r>
      <w:r w:rsidR="0080310D" w:rsidRPr="000130D9">
        <w:rPr>
          <w:rFonts w:ascii="Times New Roman" w:hAnsi="Times New Roman" w:cs="Times New Roman"/>
          <w:bCs/>
          <w:iCs/>
          <w:sz w:val="24"/>
          <w:szCs w:val="24"/>
          <w:lang w:val="hr-HR"/>
        </w:rPr>
        <w:t xml:space="preserve"> za projekte </w:t>
      </w:r>
      <w:r w:rsidR="00C37EEE">
        <w:rPr>
          <w:rFonts w:ascii="Times New Roman" w:hAnsi="Times New Roman" w:cs="Times New Roman"/>
          <w:bCs/>
          <w:iCs/>
          <w:sz w:val="24"/>
          <w:szCs w:val="24"/>
          <w:lang w:val="hr-HR"/>
        </w:rPr>
        <w:t xml:space="preserve">„Ciljana znanstvena istraživanja“ </w:t>
      </w:r>
      <w:r w:rsidR="00957622">
        <w:rPr>
          <w:rFonts w:ascii="Times New Roman" w:hAnsi="Times New Roman" w:cs="Times New Roman"/>
          <w:bCs/>
          <w:iCs/>
          <w:sz w:val="24"/>
          <w:szCs w:val="24"/>
          <w:lang w:val="hr-HR"/>
        </w:rPr>
        <w:t>i č</w:t>
      </w:r>
      <w:r w:rsidR="00213C96">
        <w:rPr>
          <w:rFonts w:ascii="Times New Roman" w:hAnsi="Times New Roman" w:cs="Times New Roman"/>
          <w:bCs/>
          <w:iCs/>
          <w:sz w:val="24"/>
          <w:szCs w:val="24"/>
          <w:lang w:val="hr-HR"/>
        </w:rPr>
        <w:t xml:space="preserve">lankom 10. </w:t>
      </w:r>
      <w:r w:rsidR="00213C96" w:rsidRPr="00213C96">
        <w:rPr>
          <w:rFonts w:ascii="Times New Roman" w:hAnsi="Times New Roman" w:cs="Times New Roman"/>
          <w:bCs/>
          <w:iCs/>
          <w:sz w:val="24"/>
          <w:szCs w:val="24"/>
          <w:lang w:val="hr-HR"/>
        </w:rPr>
        <w:t>Program</w:t>
      </w:r>
      <w:r w:rsidR="00957622">
        <w:rPr>
          <w:rFonts w:ascii="Times New Roman" w:hAnsi="Times New Roman" w:cs="Times New Roman"/>
          <w:bCs/>
          <w:iCs/>
          <w:sz w:val="24"/>
          <w:szCs w:val="24"/>
          <w:lang w:val="hr-HR"/>
        </w:rPr>
        <w:t>a</w:t>
      </w:r>
      <w:r w:rsidR="00213C96" w:rsidRPr="00213C96">
        <w:rPr>
          <w:rFonts w:ascii="Times New Roman" w:hAnsi="Times New Roman" w:cs="Times New Roman"/>
          <w:bCs/>
          <w:iCs/>
          <w:sz w:val="24"/>
          <w:szCs w:val="24"/>
          <w:lang w:val="hr-HR"/>
        </w:rPr>
        <w:t xml:space="preserve"> dodjele potpora male vrijednosti za projekte „Ciljana znanstvena istraživanja“</w:t>
      </w:r>
      <w:r w:rsidR="00213C96">
        <w:rPr>
          <w:rFonts w:ascii="Times New Roman" w:hAnsi="Times New Roman" w:cs="Times New Roman"/>
          <w:bCs/>
          <w:iCs/>
          <w:sz w:val="24"/>
          <w:szCs w:val="24"/>
          <w:lang w:val="hr-HR"/>
        </w:rPr>
        <w:t xml:space="preserve">, </w:t>
      </w:r>
      <w:r w:rsidRPr="000130D9">
        <w:rPr>
          <w:rFonts w:ascii="Times New Roman" w:hAnsi="Times New Roman" w:cs="Times New Roman"/>
          <w:sz w:val="24"/>
          <w:szCs w:val="24"/>
          <w:lang w:val="hr-HR" w:bidi="hr-HR"/>
        </w:rPr>
        <w:t xml:space="preserve">poduzetnik mora podnijeti pisani zahtjev za potporu </w:t>
      </w:r>
      <w:r w:rsidR="00C37EEE">
        <w:rPr>
          <w:rFonts w:ascii="Times New Roman" w:hAnsi="Times New Roman" w:cs="Times New Roman"/>
          <w:sz w:val="24"/>
          <w:szCs w:val="24"/>
          <w:lang w:val="hr-HR" w:bidi="hr-HR"/>
        </w:rPr>
        <w:t>prije</w:t>
      </w:r>
      <w:r w:rsidR="00213C96">
        <w:rPr>
          <w:rFonts w:ascii="Times New Roman" w:hAnsi="Times New Roman" w:cs="Times New Roman"/>
          <w:sz w:val="24"/>
          <w:szCs w:val="24"/>
          <w:lang w:val="hr-HR" w:bidi="hr-HR"/>
        </w:rPr>
        <w:t xml:space="preserve"> početka rada na projektu. Z</w:t>
      </w:r>
      <w:r w:rsidR="00C37EEE">
        <w:rPr>
          <w:rFonts w:ascii="Times New Roman" w:hAnsi="Times New Roman" w:cs="Times New Roman"/>
          <w:sz w:val="24"/>
          <w:szCs w:val="24"/>
          <w:lang w:val="hr-HR" w:bidi="hr-HR"/>
        </w:rPr>
        <w:t>ahtjev</w:t>
      </w:r>
      <w:r w:rsidR="00213C96">
        <w:rPr>
          <w:rFonts w:ascii="Times New Roman" w:hAnsi="Times New Roman" w:cs="Times New Roman"/>
          <w:sz w:val="24"/>
          <w:szCs w:val="24"/>
          <w:lang w:val="hr-HR" w:bidi="hr-HR"/>
        </w:rPr>
        <w:t xml:space="preserve"> je</w:t>
      </w:r>
      <w:r w:rsidR="00C37EEE">
        <w:rPr>
          <w:rFonts w:ascii="Times New Roman" w:hAnsi="Times New Roman" w:cs="Times New Roman"/>
          <w:sz w:val="24"/>
          <w:szCs w:val="24"/>
          <w:lang w:val="hr-HR" w:bidi="hr-HR"/>
        </w:rPr>
        <w:t xml:space="preserve"> </w:t>
      </w:r>
      <w:r w:rsidRPr="000130D9">
        <w:rPr>
          <w:rFonts w:ascii="Times New Roman" w:hAnsi="Times New Roman" w:cs="Times New Roman"/>
          <w:sz w:val="24"/>
          <w:szCs w:val="24"/>
          <w:lang w:val="hr-HR" w:bidi="hr-HR"/>
        </w:rPr>
        <w:t>dio obvezne doku</w:t>
      </w:r>
      <w:r w:rsidR="00213C96">
        <w:rPr>
          <w:rFonts w:ascii="Times New Roman" w:hAnsi="Times New Roman" w:cs="Times New Roman"/>
          <w:sz w:val="24"/>
          <w:szCs w:val="24"/>
          <w:lang w:val="hr-HR" w:bidi="hr-HR"/>
        </w:rPr>
        <w:t xml:space="preserve">mentacije projektnog prijedloga i popunjava se na </w:t>
      </w:r>
      <w:r w:rsidRPr="000130D9">
        <w:rPr>
          <w:rFonts w:ascii="Times New Roman" w:hAnsi="Times New Roman" w:cs="Times New Roman"/>
          <w:sz w:val="24"/>
          <w:szCs w:val="24"/>
          <w:lang w:val="hr-HR" w:bidi="hr-HR"/>
        </w:rPr>
        <w:t xml:space="preserve"> </w:t>
      </w:r>
      <w:r w:rsidR="00F7297A" w:rsidRPr="000130D9">
        <w:rPr>
          <w:rFonts w:ascii="Times New Roman" w:hAnsi="Times New Roman" w:cs="Times New Roman"/>
          <w:sz w:val="24"/>
          <w:szCs w:val="24"/>
          <w:lang w:val="hr-HR" w:bidi="hr-HR"/>
        </w:rPr>
        <w:lastRenderedPageBreak/>
        <w:t xml:space="preserve">Obrascu </w:t>
      </w:r>
      <w:r w:rsidR="00057951">
        <w:rPr>
          <w:rFonts w:ascii="Times New Roman" w:hAnsi="Times New Roman" w:cs="Times New Roman"/>
          <w:sz w:val="24"/>
          <w:szCs w:val="24"/>
          <w:lang w:val="hr-HR" w:bidi="hr-HR"/>
        </w:rPr>
        <w:t>10</w:t>
      </w:r>
      <w:r w:rsidR="0077507A">
        <w:rPr>
          <w:rFonts w:ascii="Times New Roman" w:hAnsi="Times New Roman" w:cs="Times New Roman"/>
          <w:sz w:val="24"/>
          <w:szCs w:val="24"/>
          <w:lang w:val="hr-HR" w:bidi="hr-HR"/>
        </w:rPr>
        <w:t xml:space="preserve">. Zahtjev za državnom potporom, odnosno Obrascu </w:t>
      </w:r>
      <w:r w:rsidR="00057951">
        <w:rPr>
          <w:rFonts w:ascii="Times New Roman" w:hAnsi="Times New Roman" w:cs="Times New Roman"/>
          <w:sz w:val="24"/>
          <w:szCs w:val="24"/>
          <w:lang w:val="hr-HR" w:bidi="hr-HR"/>
        </w:rPr>
        <w:t>11</w:t>
      </w:r>
      <w:r w:rsidR="0077507A">
        <w:rPr>
          <w:rFonts w:ascii="Times New Roman" w:hAnsi="Times New Roman" w:cs="Times New Roman"/>
          <w:sz w:val="24"/>
          <w:szCs w:val="24"/>
          <w:lang w:val="hr-HR" w:bidi="hr-HR"/>
        </w:rPr>
        <w:t>. Zahtjev za potporom male vrijednosti.</w:t>
      </w:r>
    </w:p>
    <w:p w14:paraId="56BA299E" w14:textId="77777777" w:rsidR="00B66265" w:rsidRPr="000130D9" w:rsidRDefault="00B66265" w:rsidP="00742B46">
      <w:pPr>
        <w:pStyle w:val="ListParagraph"/>
        <w:ind w:left="0"/>
        <w:jc w:val="both"/>
        <w:rPr>
          <w:rFonts w:ascii="Times New Roman" w:hAnsi="Times New Roman" w:cs="Times New Roman"/>
          <w:u w:val="single"/>
          <w:lang w:val="hr-HR" w:bidi="hr-HR"/>
        </w:rPr>
      </w:pPr>
    </w:p>
    <w:p w14:paraId="1439F743" w14:textId="77777777" w:rsidR="008232D0" w:rsidRDefault="008232D0" w:rsidP="00742B46">
      <w:pPr>
        <w:pStyle w:val="Heading2"/>
        <w:numPr>
          <w:ilvl w:val="0"/>
          <w:numId w:val="0"/>
        </w:numPr>
        <w:spacing w:after="120"/>
        <w:ind w:left="578" w:hanging="578"/>
        <w:jc w:val="both"/>
        <w:rPr>
          <w:rFonts w:ascii="Times New Roman" w:hAnsi="Times New Roman" w:cs="Times New Roman"/>
          <w:sz w:val="24"/>
          <w:szCs w:val="24"/>
          <w:lang w:val="hr-HR" w:bidi="hr-HR"/>
        </w:rPr>
      </w:pPr>
    </w:p>
    <w:p w14:paraId="3EDB7F58" w14:textId="77777777" w:rsidR="007B6FA6" w:rsidRPr="000130D9" w:rsidRDefault="007B6FA6" w:rsidP="00742B46">
      <w:pPr>
        <w:pStyle w:val="Heading2"/>
        <w:numPr>
          <w:ilvl w:val="0"/>
          <w:numId w:val="0"/>
        </w:numPr>
        <w:spacing w:after="120"/>
        <w:ind w:left="578" w:hanging="578"/>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Kontrole</w:t>
      </w:r>
    </w:p>
    <w:p w14:paraId="05B130DC" w14:textId="77777777" w:rsidR="007B6FA6" w:rsidRPr="000130D9" w:rsidRDefault="007B6FA6" w:rsidP="00742B46">
      <w:pPr>
        <w:pStyle w:val="ListParagraph"/>
        <w:spacing w:after="0"/>
        <w:ind w:left="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 xml:space="preserve">U skladu s odredbama Zakona o državnim potporama </w:t>
      </w:r>
      <w:r w:rsidR="008B6430" w:rsidRPr="000130D9">
        <w:rPr>
          <w:rFonts w:ascii="Times New Roman" w:hAnsi="Times New Roman" w:cs="Times New Roman"/>
          <w:bCs/>
          <w:sz w:val="24"/>
          <w:szCs w:val="24"/>
          <w:lang w:val="hr-HR"/>
        </w:rPr>
        <w:t>(</w:t>
      </w:r>
      <w:r w:rsidRPr="000130D9">
        <w:rPr>
          <w:rFonts w:ascii="Times New Roman" w:hAnsi="Times New Roman" w:cs="Times New Roman"/>
          <w:color w:val="000000"/>
          <w:sz w:val="24"/>
          <w:szCs w:val="24"/>
          <w:lang w:val="hr-HR"/>
        </w:rPr>
        <w:t>NN 47/2014</w:t>
      </w:r>
      <w:r w:rsidR="00732099" w:rsidRPr="000130D9">
        <w:rPr>
          <w:rFonts w:ascii="Times New Roman" w:hAnsi="Times New Roman" w:cs="Times New Roman"/>
          <w:color w:val="000000"/>
          <w:sz w:val="24"/>
          <w:szCs w:val="24"/>
          <w:lang w:val="hr-HR"/>
        </w:rPr>
        <w:t xml:space="preserve"> i 69/17</w:t>
      </w:r>
      <w:r w:rsidR="008B6430" w:rsidRPr="000130D9">
        <w:rPr>
          <w:rFonts w:ascii="Times New Roman" w:hAnsi="Times New Roman" w:cs="Times New Roman"/>
          <w:color w:val="000000"/>
          <w:sz w:val="24"/>
          <w:szCs w:val="24"/>
          <w:lang w:val="hr-HR"/>
        </w:rPr>
        <w:t>)</w:t>
      </w:r>
      <w:r w:rsidRPr="000130D9">
        <w:rPr>
          <w:rFonts w:ascii="Times New Roman" w:hAnsi="Times New Roman" w:cs="Times New Roman"/>
          <w:color w:val="000000"/>
          <w:sz w:val="24"/>
          <w:szCs w:val="24"/>
          <w:lang w:val="hr-HR"/>
        </w:rPr>
        <w:t> </w:t>
      </w:r>
      <w:r w:rsidR="008B6430" w:rsidRPr="000130D9">
        <w:rPr>
          <w:rFonts w:ascii="Times New Roman" w:hAnsi="Times New Roman" w:cs="Times New Roman"/>
          <w:color w:val="000000"/>
          <w:sz w:val="24"/>
          <w:szCs w:val="24"/>
          <w:lang w:val="hr-HR"/>
        </w:rPr>
        <w:t>d</w:t>
      </w:r>
      <w:r w:rsidRPr="000130D9">
        <w:rPr>
          <w:rFonts w:ascii="Times New Roman" w:hAnsi="Times New Roman" w:cs="Times New Roman"/>
          <w:color w:val="000000"/>
          <w:sz w:val="24"/>
          <w:szCs w:val="24"/>
          <w:lang w:val="hr-HR"/>
        </w:rPr>
        <w:t>avatelji državnih potpora</w:t>
      </w:r>
      <w:r w:rsidR="008B6430" w:rsidRPr="000130D9">
        <w:rPr>
          <w:rFonts w:ascii="Times New Roman" w:hAnsi="Times New Roman" w:cs="Times New Roman"/>
          <w:color w:val="000000"/>
          <w:sz w:val="24"/>
          <w:szCs w:val="24"/>
          <w:lang w:val="hr-HR"/>
        </w:rPr>
        <w:t>, u ovom slučaju Ministarstvo znanosti i obrazovanja,</w:t>
      </w:r>
      <w:r w:rsidRPr="000130D9">
        <w:rPr>
          <w:rFonts w:ascii="Times New Roman" w:hAnsi="Times New Roman" w:cs="Times New Roman"/>
          <w:color w:val="666666"/>
          <w:sz w:val="24"/>
          <w:szCs w:val="24"/>
          <w:lang w:val="hr-HR"/>
        </w:rPr>
        <w:t xml:space="preserve"> </w:t>
      </w:r>
      <w:r w:rsidRPr="000130D9">
        <w:rPr>
          <w:rFonts w:ascii="Times New Roman" w:hAnsi="Times New Roman" w:cs="Times New Roman"/>
          <w:color w:val="000000"/>
          <w:sz w:val="24"/>
          <w:szCs w:val="24"/>
          <w:lang w:val="hr-HR"/>
        </w:rPr>
        <w:t>analiziraju učinkovitost dodijeljenih državnih potpora i o tome obavještavaju Ministarstvo financija</w:t>
      </w:r>
      <w:r w:rsidR="008B6430" w:rsidRPr="000130D9">
        <w:rPr>
          <w:rFonts w:ascii="Times New Roman" w:hAnsi="Times New Roman" w:cs="Times New Roman"/>
          <w:color w:val="000000"/>
          <w:sz w:val="24"/>
          <w:szCs w:val="24"/>
          <w:lang w:val="hr-HR"/>
        </w:rPr>
        <w:t>.</w:t>
      </w:r>
    </w:p>
    <w:p w14:paraId="79AC0BE2" w14:textId="77777777" w:rsidR="007B6FA6" w:rsidRPr="000130D9" w:rsidRDefault="007B6FA6" w:rsidP="00742B46">
      <w:pPr>
        <w:pStyle w:val="ListParagraph"/>
        <w:spacing w:after="0"/>
        <w:ind w:left="0"/>
        <w:jc w:val="both"/>
        <w:rPr>
          <w:rFonts w:ascii="Times New Roman" w:hAnsi="Times New Roman" w:cs="Times New Roman"/>
          <w:b/>
          <w:bCs/>
          <w:sz w:val="24"/>
          <w:szCs w:val="24"/>
        </w:rPr>
      </w:pPr>
    </w:p>
    <w:p w14:paraId="5850E47F" w14:textId="77777777" w:rsidR="007B6FA6" w:rsidRPr="000130D9" w:rsidRDefault="00B31E38" w:rsidP="00742B46">
      <w:pPr>
        <w:pStyle w:val="ListParagraph"/>
        <w:spacing w:after="0"/>
        <w:ind w:left="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 xml:space="preserve">Kako bi mogli analizirati učinkovitost državne potpore, </w:t>
      </w:r>
      <w:r w:rsidR="00C877E3" w:rsidRPr="000130D9">
        <w:rPr>
          <w:rFonts w:ascii="Times New Roman" w:hAnsi="Times New Roman" w:cs="Times New Roman"/>
          <w:bCs/>
          <w:sz w:val="24"/>
          <w:szCs w:val="24"/>
          <w:lang w:val="hr-HR"/>
        </w:rPr>
        <w:t>korisnici državne potpore</w:t>
      </w:r>
      <w:r w:rsidRPr="000130D9">
        <w:rPr>
          <w:rFonts w:ascii="Times New Roman" w:hAnsi="Times New Roman" w:cs="Times New Roman"/>
          <w:bCs/>
          <w:sz w:val="24"/>
          <w:szCs w:val="24"/>
          <w:lang w:val="hr-HR"/>
        </w:rPr>
        <w:t xml:space="preserve"> morat će</w:t>
      </w:r>
      <w:r w:rsidR="00C877E3" w:rsidRPr="000130D9">
        <w:rPr>
          <w:rFonts w:ascii="Times New Roman" w:hAnsi="Times New Roman" w:cs="Times New Roman"/>
          <w:bCs/>
          <w:sz w:val="24"/>
          <w:szCs w:val="24"/>
          <w:lang w:val="hr-HR"/>
        </w:rPr>
        <w:t xml:space="preserve"> </w:t>
      </w:r>
      <w:r w:rsidR="00B66265" w:rsidRPr="000130D9">
        <w:rPr>
          <w:rFonts w:ascii="Times New Roman" w:hAnsi="Times New Roman" w:cs="Times New Roman"/>
          <w:bCs/>
          <w:sz w:val="24"/>
          <w:szCs w:val="24"/>
          <w:lang w:val="hr-HR"/>
        </w:rPr>
        <w:t xml:space="preserve">na zahtjev </w:t>
      </w:r>
      <w:r w:rsidR="00C877E3" w:rsidRPr="000130D9">
        <w:rPr>
          <w:rFonts w:ascii="Times New Roman" w:hAnsi="Times New Roman" w:cs="Times New Roman"/>
          <w:bCs/>
          <w:sz w:val="24"/>
          <w:szCs w:val="24"/>
          <w:lang w:val="hr-HR"/>
        </w:rPr>
        <w:t>Ministarstv</w:t>
      </w:r>
      <w:r w:rsidR="00A2550D" w:rsidRPr="000130D9">
        <w:rPr>
          <w:rFonts w:ascii="Times New Roman" w:hAnsi="Times New Roman" w:cs="Times New Roman"/>
          <w:bCs/>
          <w:sz w:val="24"/>
          <w:szCs w:val="24"/>
          <w:lang w:val="hr-HR"/>
        </w:rPr>
        <w:t>a</w:t>
      </w:r>
      <w:r w:rsidR="00C877E3" w:rsidRPr="000130D9">
        <w:rPr>
          <w:rFonts w:ascii="Times New Roman" w:hAnsi="Times New Roman" w:cs="Times New Roman"/>
          <w:bCs/>
          <w:sz w:val="24"/>
          <w:szCs w:val="24"/>
          <w:lang w:val="hr-HR"/>
        </w:rPr>
        <w:t xml:space="preserve"> znanosti i obrazovanja</w:t>
      </w:r>
      <w:r w:rsidR="00442270" w:rsidRPr="000130D9">
        <w:rPr>
          <w:rFonts w:ascii="Times New Roman" w:hAnsi="Times New Roman" w:cs="Times New Roman"/>
          <w:bCs/>
          <w:sz w:val="24"/>
          <w:szCs w:val="24"/>
          <w:lang w:val="hr-HR"/>
        </w:rPr>
        <w:t xml:space="preserve"> </w:t>
      </w:r>
      <w:r w:rsidRPr="000130D9">
        <w:rPr>
          <w:rFonts w:ascii="Times New Roman" w:hAnsi="Times New Roman" w:cs="Times New Roman"/>
          <w:bCs/>
          <w:sz w:val="24"/>
          <w:szCs w:val="24"/>
          <w:lang w:val="hr-HR"/>
        </w:rPr>
        <w:t>dostaviti sljedeće podatke:</w:t>
      </w:r>
    </w:p>
    <w:p w14:paraId="04B8B846" w14:textId="7D121142" w:rsidR="00E26C9D" w:rsidRDefault="00B31E38" w:rsidP="00742B46">
      <w:pPr>
        <w:pStyle w:val="ListParagraph"/>
        <w:numPr>
          <w:ilvl w:val="0"/>
          <w:numId w:val="58"/>
        </w:numPr>
        <w:spacing w:after="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koje su pozitivne posljedice nastale kod korisnika državne potpore kao posljedica primljene državne potpore,</w:t>
      </w:r>
    </w:p>
    <w:p w14:paraId="6FE1E542" w14:textId="1138209E" w:rsidR="00710224" w:rsidRDefault="00710224" w:rsidP="00742B46">
      <w:pPr>
        <w:pStyle w:val="ListParagraph"/>
        <w:numPr>
          <w:ilvl w:val="0"/>
          <w:numId w:val="58"/>
        </w:numPr>
        <w:spacing w:after="0"/>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ostvarene vrijednosti sljedećih pokazatelja, uz napomenu </w:t>
      </w:r>
      <w:r w:rsidRPr="00710224">
        <w:rPr>
          <w:rFonts w:ascii="Times New Roman" w:hAnsi="Times New Roman" w:cs="Times New Roman"/>
          <w:bCs/>
          <w:sz w:val="24"/>
          <w:szCs w:val="24"/>
          <w:lang w:val="hr-HR"/>
        </w:rPr>
        <w:t>da prijavitelji prilikom podnošenja projektnog prijedloga imaju mogućnost odabira izm</w:t>
      </w:r>
      <w:r w:rsidR="00957622">
        <w:rPr>
          <w:rFonts w:ascii="Times New Roman" w:hAnsi="Times New Roman" w:cs="Times New Roman"/>
          <w:bCs/>
          <w:sz w:val="24"/>
          <w:szCs w:val="24"/>
          <w:lang w:val="hr-HR"/>
        </w:rPr>
        <w:t>eđu nekih pokazatelja</w:t>
      </w:r>
      <w:r w:rsidRPr="00710224">
        <w:rPr>
          <w:rFonts w:ascii="Times New Roman" w:hAnsi="Times New Roman" w:cs="Times New Roman"/>
          <w:bCs/>
          <w:sz w:val="24"/>
          <w:szCs w:val="24"/>
          <w:lang w:val="hr-HR"/>
        </w:rPr>
        <w:t xml:space="preserve"> te će se ostvarenje vrijednosti pokazatelja pratit</w:t>
      </w:r>
      <w:r>
        <w:rPr>
          <w:rFonts w:ascii="Times New Roman" w:hAnsi="Times New Roman" w:cs="Times New Roman"/>
          <w:bCs/>
          <w:sz w:val="24"/>
          <w:szCs w:val="24"/>
          <w:lang w:val="hr-HR"/>
        </w:rPr>
        <w:t>i prema odabranim pokazateljima:</w:t>
      </w:r>
    </w:p>
    <w:p w14:paraId="641BDA23"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suradničkih projekata ugovorenih nakon završetka projekta (između istraživačkih organizacija i poduzeća)</w:t>
      </w:r>
    </w:p>
    <w:p w14:paraId="1B8C593E"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publikacija u Q1 i Q2 časopisima (između istraživačkih organizacija i poduzeća)</w:t>
      </w:r>
    </w:p>
    <w:p w14:paraId="724861E8"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projektnih prijedloga predanih za dodatno financiranje (između istraživačkih organizacija i poduzeća)</w:t>
      </w:r>
    </w:p>
    <w:p w14:paraId="5DE0FEEF"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Vrijednost privatnih ulaganja u istraživanje i razvoj nakon završetka projekta</w:t>
      </w:r>
    </w:p>
    <w:p w14:paraId="1BA10831"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istraživača zaposlenih u poduzećima nakon završetka projekta</w:t>
      </w:r>
    </w:p>
    <w:p w14:paraId="0BC412D3"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ostvarenih transfera tehnologije</w:t>
      </w:r>
    </w:p>
    <w:p w14:paraId="7C12E604"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podnesenih prijava za intelektualno vlasništvo</w:t>
      </w:r>
    </w:p>
    <w:p w14:paraId="7C0F1E96"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 xml:space="preserve">Broj uvedenih inovacija procesa </w:t>
      </w:r>
    </w:p>
    <w:p w14:paraId="6B155980"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 xml:space="preserve">Broj uvedenih inovacija proizvoda </w:t>
      </w:r>
    </w:p>
    <w:p w14:paraId="2D176AD4"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podržanih suradničkih istraživačkih projekata (između istraživačkih organizacija i poduzeća)</w:t>
      </w:r>
    </w:p>
    <w:p w14:paraId="766A0D12"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podržanih poduzeća (u inovacijama proizvoda)</w:t>
      </w:r>
    </w:p>
    <w:p w14:paraId="5D84655F"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podržanih poduzeća (u inovacijama procesa)</w:t>
      </w:r>
    </w:p>
    <w:p w14:paraId="3B31D4D7"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Vrijednost privatnih ulaganja povrh javne potpore</w:t>
      </w:r>
    </w:p>
    <w:p w14:paraId="01BF0218"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podržanih projekata industrijskih istraživanja</w:t>
      </w:r>
    </w:p>
    <w:p w14:paraId="17BFF8DC" w14:textId="77777777" w:rsidR="00710224" w:rsidRPr="00710224"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organiziranih događaja za promociju transfera tehnologije</w:t>
      </w:r>
    </w:p>
    <w:p w14:paraId="2A60F175" w14:textId="1F8E2956" w:rsidR="00710224" w:rsidRPr="00B67B6E" w:rsidRDefault="00710224" w:rsidP="00742B46">
      <w:pPr>
        <w:pStyle w:val="ListParagraph"/>
        <w:spacing w:after="0"/>
        <w:ind w:left="1080"/>
        <w:jc w:val="both"/>
        <w:rPr>
          <w:rFonts w:ascii="Times New Roman" w:hAnsi="Times New Roman" w:cs="Times New Roman"/>
          <w:bCs/>
          <w:sz w:val="24"/>
          <w:szCs w:val="24"/>
          <w:lang w:val="hr-HR"/>
        </w:rPr>
      </w:pPr>
      <w:r w:rsidRPr="00710224">
        <w:rPr>
          <w:rFonts w:ascii="Times New Roman" w:hAnsi="Times New Roman" w:cs="Times New Roman"/>
          <w:bCs/>
          <w:sz w:val="24"/>
          <w:szCs w:val="24"/>
          <w:lang w:val="hr-HR"/>
        </w:rPr>
        <w:t>•</w:t>
      </w:r>
      <w:r w:rsidRPr="00710224">
        <w:rPr>
          <w:rFonts w:ascii="Times New Roman" w:hAnsi="Times New Roman" w:cs="Times New Roman"/>
          <w:bCs/>
          <w:sz w:val="24"/>
          <w:szCs w:val="24"/>
          <w:lang w:val="hr-HR"/>
        </w:rPr>
        <w:tab/>
        <w:t>Broj poduzeća koja su sudjelovala u organiziranim događajima za promociju transfera tehnologije</w:t>
      </w:r>
    </w:p>
    <w:p w14:paraId="63C07101" w14:textId="77777777" w:rsidR="00B31E38" w:rsidRDefault="00442270" w:rsidP="00742B46">
      <w:pPr>
        <w:pStyle w:val="ListParagraph"/>
        <w:numPr>
          <w:ilvl w:val="0"/>
          <w:numId w:val="58"/>
        </w:numPr>
        <w:spacing w:after="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ostale informacije vezane za učinak državne potpore</w:t>
      </w:r>
      <w:r w:rsidR="00B31E38" w:rsidRPr="000130D9">
        <w:rPr>
          <w:rFonts w:ascii="Times New Roman" w:hAnsi="Times New Roman" w:cs="Times New Roman"/>
          <w:bCs/>
          <w:sz w:val="24"/>
          <w:szCs w:val="24"/>
          <w:lang w:val="hr-HR"/>
        </w:rPr>
        <w:t>.</w:t>
      </w:r>
    </w:p>
    <w:p w14:paraId="68BC0C9A" w14:textId="77777777" w:rsidR="00B66265" w:rsidRPr="000130D9" w:rsidRDefault="00B66265" w:rsidP="00742B46">
      <w:pPr>
        <w:pStyle w:val="ListParagraph"/>
        <w:spacing w:after="0"/>
        <w:ind w:left="0"/>
        <w:jc w:val="both"/>
        <w:rPr>
          <w:rFonts w:ascii="Times New Roman" w:hAnsi="Times New Roman" w:cs="Times New Roman"/>
          <w:sz w:val="24"/>
          <w:szCs w:val="24"/>
          <w:lang w:val="hr-HR" w:bidi="hr-HR"/>
        </w:rPr>
      </w:pPr>
    </w:p>
    <w:p w14:paraId="6171450E" w14:textId="1FB4218D" w:rsidR="008232D0" w:rsidRPr="000130D9" w:rsidRDefault="00C642E2" w:rsidP="00742B46">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lastRenderedPageBreak/>
        <w:t>Uz poštivanje svih pravila o državnim potporama navedeni</w:t>
      </w:r>
      <w:r w:rsidR="007C6F0C">
        <w:rPr>
          <w:rFonts w:ascii="Times New Roman" w:hAnsi="Times New Roman" w:cs="Times New Roman"/>
          <w:sz w:val="24"/>
          <w:szCs w:val="24"/>
          <w:lang w:val="hr-HR" w:bidi="hr-HR"/>
        </w:rPr>
        <w:t>h</w:t>
      </w:r>
      <w:r w:rsidRPr="000130D9">
        <w:rPr>
          <w:rFonts w:ascii="Times New Roman" w:hAnsi="Times New Roman" w:cs="Times New Roman"/>
          <w:sz w:val="24"/>
          <w:szCs w:val="24"/>
          <w:lang w:val="hr-HR" w:bidi="hr-HR"/>
        </w:rPr>
        <w:t xml:space="preserve"> u ovim Smjernicama, a vezano za </w:t>
      </w:r>
      <w:r w:rsidR="00B66265" w:rsidRPr="000130D9">
        <w:rPr>
          <w:rFonts w:ascii="Times New Roman" w:hAnsi="Times New Roman" w:cs="Times New Roman"/>
          <w:sz w:val="24"/>
          <w:szCs w:val="24"/>
          <w:lang w:val="hr-HR" w:bidi="hr-HR"/>
        </w:rPr>
        <w:t>ista, u formalnom smislu poduzetnici</w:t>
      </w:r>
      <w:r w:rsidRPr="000130D9">
        <w:rPr>
          <w:rFonts w:ascii="Times New Roman" w:hAnsi="Times New Roman" w:cs="Times New Roman"/>
          <w:sz w:val="24"/>
          <w:szCs w:val="24"/>
          <w:lang w:val="hr-HR" w:bidi="hr-HR"/>
        </w:rPr>
        <w:t xml:space="preserve"> moraju:</w:t>
      </w:r>
      <w:bookmarkStart w:id="0" w:name="_GoBack"/>
      <w:bookmarkEnd w:id="0"/>
    </w:p>
    <w:p w14:paraId="03A39BFF" w14:textId="3207B061" w:rsidR="00C642E2" w:rsidRPr="000130D9" w:rsidRDefault="00C642E2" w:rsidP="00742B46">
      <w:pPr>
        <w:pStyle w:val="ListParagraph"/>
        <w:numPr>
          <w:ilvl w:val="0"/>
          <w:numId w:val="59"/>
        </w:numPr>
        <w:spacing w:after="0"/>
        <w:jc w:val="both"/>
        <w:rPr>
          <w:rFonts w:ascii="Times New Roman" w:hAnsi="Times New Roman" w:cs="Times New Roman"/>
          <w:sz w:val="24"/>
          <w:szCs w:val="24"/>
          <w:lang w:val="hr-HR" w:bidi="hr-HR"/>
        </w:rPr>
      </w:pPr>
      <w:r w:rsidRPr="000130D9">
        <w:rPr>
          <w:rFonts w:ascii="Times New Roman" w:hAnsi="Times New Roman" w:cs="Times New Roman"/>
          <w:b/>
          <w:sz w:val="24"/>
          <w:szCs w:val="24"/>
          <w:lang w:val="hr-HR" w:bidi="hr-HR"/>
        </w:rPr>
        <w:t>podnijeti pisani zahtjev za potporu prije početka rada na projektu</w:t>
      </w:r>
      <w:r w:rsidR="00957622">
        <w:rPr>
          <w:rFonts w:ascii="Times New Roman" w:hAnsi="Times New Roman" w:cs="Times New Roman"/>
          <w:sz w:val="24"/>
          <w:szCs w:val="24"/>
          <w:lang w:val="hr-HR" w:bidi="hr-HR"/>
        </w:rPr>
        <w:t xml:space="preserve">, odnosno popuniti </w:t>
      </w:r>
      <w:r w:rsidRPr="000130D9">
        <w:rPr>
          <w:rFonts w:ascii="Times New Roman" w:hAnsi="Times New Roman" w:cs="Times New Roman"/>
          <w:sz w:val="24"/>
          <w:szCs w:val="24"/>
          <w:lang w:val="hr-HR" w:bidi="hr-HR"/>
        </w:rPr>
        <w:t xml:space="preserve">Obrazac </w:t>
      </w:r>
      <w:r w:rsidR="00057951">
        <w:rPr>
          <w:rFonts w:ascii="Times New Roman" w:hAnsi="Times New Roman" w:cs="Times New Roman"/>
          <w:sz w:val="24"/>
          <w:szCs w:val="24"/>
          <w:lang w:val="hr-HR" w:bidi="hr-HR"/>
        </w:rPr>
        <w:t>10</w:t>
      </w:r>
      <w:r w:rsidR="00957622">
        <w:rPr>
          <w:rFonts w:ascii="Times New Roman" w:hAnsi="Times New Roman" w:cs="Times New Roman"/>
          <w:sz w:val="24"/>
          <w:szCs w:val="24"/>
          <w:lang w:val="hr-HR" w:bidi="hr-HR"/>
        </w:rPr>
        <w:t xml:space="preserve">. i/ili Obrazac </w:t>
      </w:r>
      <w:r w:rsidR="00057951">
        <w:rPr>
          <w:rFonts w:ascii="Times New Roman" w:hAnsi="Times New Roman" w:cs="Times New Roman"/>
          <w:sz w:val="24"/>
          <w:szCs w:val="24"/>
          <w:lang w:val="hr-HR" w:bidi="hr-HR"/>
        </w:rPr>
        <w:t>11</w:t>
      </w:r>
      <w:r w:rsidR="00957622">
        <w:rPr>
          <w:rFonts w:ascii="Times New Roman" w:hAnsi="Times New Roman" w:cs="Times New Roman"/>
          <w:sz w:val="24"/>
          <w:szCs w:val="24"/>
          <w:lang w:val="hr-HR" w:bidi="hr-HR"/>
        </w:rPr>
        <w:t>.</w:t>
      </w:r>
      <w:r w:rsidRPr="000130D9">
        <w:rPr>
          <w:rFonts w:ascii="Times New Roman" w:hAnsi="Times New Roman" w:cs="Times New Roman"/>
          <w:sz w:val="24"/>
          <w:szCs w:val="24"/>
          <w:lang w:val="hr-HR" w:bidi="hr-HR"/>
        </w:rPr>
        <w:t xml:space="preserve"> koji se predaje u sklopu projektnog prijedloga</w:t>
      </w:r>
      <w:r w:rsidR="00732099" w:rsidRPr="000130D9">
        <w:rPr>
          <w:rFonts w:ascii="Times New Roman" w:hAnsi="Times New Roman" w:cs="Times New Roman"/>
          <w:sz w:val="24"/>
          <w:szCs w:val="24"/>
          <w:lang w:val="hr-HR" w:bidi="hr-HR"/>
        </w:rPr>
        <w:t>,</w:t>
      </w:r>
    </w:p>
    <w:p w14:paraId="0EF2E74A" w14:textId="2F037351" w:rsidR="00B66265" w:rsidRPr="008232D0" w:rsidRDefault="00C642E2" w:rsidP="00742B46">
      <w:pPr>
        <w:pStyle w:val="ListParagraph"/>
        <w:numPr>
          <w:ilvl w:val="0"/>
          <w:numId w:val="59"/>
        </w:numPr>
        <w:spacing w:after="0"/>
        <w:jc w:val="both"/>
        <w:rPr>
          <w:rFonts w:ascii="Times New Roman" w:hAnsi="Times New Roman" w:cs="Times New Roman"/>
          <w:sz w:val="24"/>
          <w:szCs w:val="24"/>
          <w:lang w:val="hr-HR" w:bidi="hr-HR"/>
        </w:rPr>
      </w:pPr>
      <w:r w:rsidRPr="000130D9">
        <w:rPr>
          <w:rFonts w:ascii="Times New Roman" w:hAnsi="Times New Roman" w:cs="Times New Roman"/>
          <w:b/>
          <w:sz w:val="24"/>
          <w:szCs w:val="24"/>
          <w:lang w:val="hr-HR" w:bidi="hr-HR"/>
        </w:rPr>
        <w:t>dostaviti podatke o učinkovitosti državne potpore</w:t>
      </w:r>
      <w:r w:rsidR="00B66265" w:rsidRPr="000130D9">
        <w:rPr>
          <w:rFonts w:ascii="Times New Roman" w:hAnsi="Times New Roman" w:cs="Times New Roman"/>
          <w:b/>
          <w:sz w:val="24"/>
          <w:szCs w:val="24"/>
          <w:lang w:val="hr-HR" w:bidi="hr-HR"/>
        </w:rPr>
        <w:t xml:space="preserve"> na traženje ministarstva</w:t>
      </w:r>
      <w:r w:rsidR="00732099" w:rsidRPr="000130D9">
        <w:rPr>
          <w:rFonts w:ascii="Times New Roman" w:hAnsi="Times New Roman" w:cs="Times New Roman"/>
          <w:b/>
          <w:sz w:val="24"/>
          <w:szCs w:val="24"/>
          <w:lang w:val="hr-HR" w:bidi="hr-HR"/>
        </w:rPr>
        <w:t>.</w:t>
      </w:r>
    </w:p>
    <w:p w14:paraId="517312C3" w14:textId="77777777" w:rsidR="008232D0" w:rsidRPr="00957622" w:rsidRDefault="008232D0" w:rsidP="008232D0">
      <w:pPr>
        <w:pStyle w:val="ListParagraph"/>
        <w:spacing w:after="0"/>
        <w:ind w:left="1440"/>
        <w:jc w:val="both"/>
        <w:rPr>
          <w:rFonts w:ascii="Times New Roman" w:hAnsi="Times New Roman" w:cs="Times New Roman"/>
          <w:sz w:val="24"/>
          <w:szCs w:val="24"/>
          <w:lang w:val="hr-HR" w:bidi="hr-HR"/>
        </w:rPr>
      </w:pPr>
    </w:p>
    <w:tbl>
      <w:tblPr>
        <w:tblStyle w:val="TableGrid"/>
        <w:tblW w:w="0" w:type="auto"/>
        <w:shd w:val="clear" w:color="auto" w:fill="DBE5F1" w:themeFill="accent1" w:themeFillTint="33"/>
        <w:tblLook w:val="04A0" w:firstRow="1" w:lastRow="0" w:firstColumn="1" w:lastColumn="0" w:noHBand="0" w:noVBand="1"/>
      </w:tblPr>
      <w:tblGrid>
        <w:gridCol w:w="9062"/>
      </w:tblGrid>
      <w:tr w:rsidR="007F1D63" w:rsidRPr="00494717" w14:paraId="67254343" w14:textId="77777777" w:rsidTr="00C642E2">
        <w:tc>
          <w:tcPr>
            <w:tcW w:w="9062" w:type="dxa"/>
            <w:shd w:val="clear" w:color="auto" w:fill="B8CCE4" w:themeFill="accent1" w:themeFillTint="66"/>
          </w:tcPr>
          <w:p w14:paraId="179FC3BF" w14:textId="77777777" w:rsidR="007F1D63" w:rsidRPr="00B53249" w:rsidRDefault="007F1D63" w:rsidP="00742B46">
            <w:pPr>
              <w:spacing w:before="120" w:after="120" w:line="276" w:lineRule="auto"/>
              <w:jc w:val="both"/>
              <w:rPr>
                <w:rFonts w:ascii="Times New Roman" w:hAnsi="Times New Roman" w:cs="Times New Roman"/>
                <w:b/>
                <w:lang w:val="hr-HR"/>
              </w:rPr>
            </w:pPr>
            <w:r w:rsidRPr="00B53249">
              <w:rPr>
                <w:rFonts w:ascii="Times New Roman" w:hAnsi="Times New Roman" w:cs="Times New Roman"/>
                <w:b/>
                <w:lang w:val="hr-HR"/>
              </w:rPr>
              <w:t>Nepoštivanja pravila o državnim potporama tijekom i nakon provedbe projekta dovodi do materijalne i kaznene odgovornosti korisnika i partnera te će biti razlogom postupanja nadležnih tijela.</w:t>
            </w:r>
          </w:p>
        </w:tc>
      </w:tr>
    </w:tbl>
    <w:p w14:paraId="1B92491E" w14:textId="77777777" w:rsidR="00FD46E6" w:rsidRPr="000130D9" w:rsidRDefault="00FD46E6" w:rsidP="00742B46">
      <w:pPr>
        <w:spacing w:before="120" w:after="120"/>
        <w:jc w:val="both"/>
        <w:rPr>
          <w:rFonts w:ascii="Times New Roman" w:hAnsi="Times New Roman" w:cs="Times New Roman"/>
          <w:lang w:val="hr-HR"/>
        </w:rPr>
      </w:pPr>
    </w:p>
    <w:sectPr w:rsidR="00FD46E6" w:rsidRPr="000130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93049" w14:textId="77777777" w:rsidR="005C16E1" w:rsidRDefault="005C16E1" w:rsidP="00A65695">
      <w:pPr>
        <w:spacing w:after="0" w:line="240" w:lineRule="auto"/>
      </w:pPr>
      <w:r>
        <w:separator/>
      </w:r>
    </w:p>
  </w:endnote>
  <w:endnote w:type="continuationSeparator" w:id="0">
    <w:p w14:paraId="06775C49" w14:textId="77777777" w:rsidR="005C16E1" w:rsidRDefault="005C16E1" w:rsidP="00A6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796214"/>
      <w:docPartObj>
        <w:docPartGallery w:val="Page Numbers (Bottom of Page)"/>
        <w:docPartUnique/>
      </w:docPartObj>
    </w:sdtPr>
    <w:sdtEndPr>
      <w:rPr>
        <w:rFonts w:ascii="Times New Roman" w:hAnsi="Times New Roman" w:cs="Times New Roman"/>
      </w:rPr>
    </w:sdtEndPr>
    <w:sdtContent>
      <w:p w14:paraId="2D003F42" w14:textId="5384D8D0" w:rsidR="00A65695" w:rsidRPr="002E168D" w:rsidRDefault="00A65695">
        <w:pPr>
          <w:pStyle w:val="Footer"/>
          <w:jc w:val="right"/>
          <w:rPr>
            <w:rFonts w:ascii="Times New Roman" w:hAnsi="Times New Roman" w:cs="Times New Roman"/>
          </w:rPr>
        </w:pPr>
        <w:r w:rsidRPr="002E168D">
          <w:rPr>
            <w:rFonts w:ascii="Times New Roman" w:hAnsi="Times New Roman" w:cs="Times New Roman"/>
          </w:rPr>
          <w:fldChar w:fldCharType="begin"/>
        </w:r>
        <w:r w:rsidRPr="002E168D">
          <w:rPr>
            <w:rFonts w:ascii="Times New Roman" w:hAnsi="Times New Roman" w:cs="Times New Roman"/>
          </w:rPr>
          <w:instrText>PAGE   \* MERGEFORMAT</w:instrText>
        </w:r>
        <w:r w:rsidRPr="002E168D">
          <w:rPr>
            <w:rFonts w:ascii="Times New Roman" w:hAnsi="Times New Roman" w:cs="Times New Roman"/>
          </w:rPr>
          <w:fldChar w:fldCharType="separate"/>
        </w:r>
        <w:r w:rsidR="00A56B2E" w:rsidRPr="00A56B2E">
          <w:rPr>
            <w:rFonts w:ascii="Times New Roman" w:hAnsi="Times New Roman" w:cs="Times New Roman"/>
            <w:noProof/>
            <w:lang w:val="pl-PL"/>
          </w:rPr>
          <w:t>8</w:t>
        </w:r>
        <w:r w:rsidRPr="002E168D">
          <w:rPr>
            <w:rFonts w:ascii="Times New Roman" w:hAnsi="Times New Roman" w:cs="Times New Roman"/>
          </w:rPr>
          <w:fldChar w:fldCharType="end"/>
        </w:r>
      </w:p>
    </w:sdtContent>
  </w:sdt>
  <w:p w14:paraId="7D878431" w14:textId="77777777" w:rsidR="00A65695" w:rsidRDefault="00A6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0AC80" w14:textId="77777777" w:rsidR="005C16E1" w:rsidRDefault="005C16E1" w:rsidP="00A65695">
      <w:pPr>
        <w:spacing w:after="0" w:line="240" w:lineRule="auto"/>
      </w:pPr>
      <w:r>
        <w:separator/>
      </w:r>
    </w:p>
  </w:footnote>
  <w:footnote w:type="continuationSeparator" w:id="0">
    <w:p w14:paraId="4840F7CC" w14:textId="77777777" w:rsidR="005C16E1" w:rsidRDefault="005C16E1" w:rsidP="00A65695">
      <w:pPr>
        <w:spacing w:after="0" w:line="240" w:lineRule="auto"/>
      </w:pPr>
      <w:r>
        <w:continuationSeparator/>
      </w:r>
    </w:p>
  </w:footnote>
  <w:footnote w:id="1">
    <w:p w14:paraId="60CCD4EC" w14:textId="77777777" w:rsidR="00CE311C" w:rsidRPr="000F133D" w:rsidRDefault="009D428F" w:rsidP="00E87298">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sz w:val="16"/>
          <w:szCs w:val="16"/>
          <w:lang w:val="hr-HR"/>
        </w:rPr>
        <w:footnoteRef/>
      </w:r>
      <w:r w:rsidR="007432F2" w:rsidRPr="000F133D">
        <w:rPr>
          <w:rFonts w:ascii="Times New Roman" w:hAnsi="Times New Roman" w:cs="Times New Roman"/>
          <w:sz w:val="16"/>
          <w:szCs w:val="16"/>
          <w:lang w:val="hr-HR"/>
        </w:rPr>
        <w:t xml:space="preserve"> </w:t>
      </w:r>
      <w:hyperlink r:id="rId1" w:history="1">
        <w:r w:rsidR="000158FE" w:rsidRPr="000F133D">
          <w:rPr>
            <w:rStyle w:val="Hyperlink"/>
            <w:rFonts w:ascii="Times New Roman" w:hAnsi="Times New Roman" w:cs="Times New Roman"/>
            <w:sz w:val="16"/>
            <w:szCs w:val="16"/>
            <w:lang w:val="hr-HR"/>
          </w:rPr>
          <w:t>http://eur-lex.europa.eu/legal-content/HR/TXT/PDF/?uri=CELEX:52014XC0627(01)&amp;from=HR</w:t>
        </w:r>
      </w:hyperlink>
    </w:p>
  </w:footnote>
  <w:footnote w:id="2">
    <w:p w14:paraId="1E6D355C" w14:textId="7D2DAE72" w:rsidR="0028469A" w:rsidRPr="000F133D" w:rsidRDefault="0028469A">
      <w:pPr>
        <w:pStyle w:val="FootnoteText"/>
        <w:rPr>
          <w:sz w:val="16"/>
          <w:szCs w:val="16"/>
          <w:lang w:val="hr-HR"/>
        </w:rPr>
      </w:pPr>
      <w:r w:rsidRPr="000F133D">
        <w:rPr>
          <w:rStyle w:val="FootnoteReference"/>
          <w:sz w:val="16"/>
          <w:szCs w:val="16"/>
        </w:rPr>
        <w:footnoteRef/>
      </w:r>
      <w:r w:rsidRPr="000F133D">
        <w:rPr>
          <w:sz w:val="16"/>
          <w:szCs w:val="16"/>
        </w:rPr>
        <w:t xml:space="preserve"> </w:t>
      </w:r>
      <w:hyperlink r:id="rId2" w:history="1">
        <w:r w:rsidRPr="000F133D">
          <w:rPr>
            <w:rStyle w:val="Hyperlink"/>
            <w:rFonts w:ascii="Times New Roman" w:hAnsi="Times New Roman" w:cs="Times New Roman"/>
            <w:sz w:val="16"/>
            <w:szCs w:val="16"/>
          </w:rPr>
          <w:t>http://eur-lex.europa.eu/legal-content/HR/TXT/PDF/?uri=CELEX:32014R0651&amp;from=HR</w:t>
        </w:r>
      </w:hyperlink>
    </w:p>
  </w:footnote>
  <w:footnote w:id="3">
    <w:p w14:paraId="0D93D520" w14:textId="6D6D0B0B" w:rsidR="002237E0" w:rsidRPr="000F133D" w:rsidRDefault="002237E0" w:rsidP="00E87298">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sz w:val="16"/>
          <w:szCs w:val="16"/>
        </w:rPr>
        <w:footnoteRef/>
      </w:r>
      <w:r w:rsidRPr="000F133D">
        <w:rPr>
          <w:rFonts w:ascii="Times New Roman" w:hAnsi="Times New Roman" w:cs="Times New Roman"/>
          <w:sz w:val="16"/>
          <w:szCs w:val="16"/>
        </w:rPr>
        <w:t xml:space="preserve"> </w:t>
      </w:r>
      <w:hyperlink r:id="rId3" w:history="1">
        <w:r w:rsidR="0028469A" w:rsidRPr="000F133D">
          <w:rPr>
            <w:rStyle w:val="Hyperlink"/>
            <w:rFonts w:ascii="Times New Roman" w:hAnsi="Times New Roman" w:cs="Times New Roman"/>
            <w:sz w:val="16"/>
            <w:szCs w:val="16"/>
          </w:rPr>
          <w:t>https://eur-lex.europa.eu/legal-content/HR/TXT/PDF/?uri=CELEX:32017R1084&amp;from=HR</w:t>
        </w:r>
      </w:hyperlink>
    </w:p>
  </w:footnote>
  <w:footnote w:id="4">
    <w:p w14:paraId="3D38347A" w14:textId="6B733BFB" w:rsidR="00D951EE" w:rsidRPr="000F133D" w:rsidRDefault="00D951EE">
      <w:pPr>
        <w:pStyle w:val="FootnoteText"/>
        <w:rPr>
          <w:rFonts w:ascii="Times New Roman" w:hAnsi="Times New Roman" w:cs="Times New Roman"/>
          <w:sz w:val="16"/>
          <w:szCs w:val="16"/>
          <w:lang w:val="hr-HR"/>
        </w:rPr>
      </w:pPr>
      <w:r w:rsidRPr="000F133D">
        <w:rPr>
          <w:rStyle w:val="FootnoteReference"/>
          <w:rFonts w:ascii="Times New Roman" w:hAnsi="Times New Roman" w:cs="Times New Roman"/>
          <w:sz w:val="16"/>
          <w:szCs w:val="16"/>
        </w:rPr>
        <w:footnoteRef/>
      </w:r>
      <w:r w:rsidRPr="000F133D">
        <w:rPr>
          <w:rFonts w:ascii="Times New Roman" w:hAnsi="Times New Roman" w:cs="Times New Roman"/>
          <w:sz w:val="16"/>
          <w:szCs w:val="16"/>
        </w:rPr>
        <w:t xml:space="preserve"> </w:t>
      </w:r>
      <w:hyperlink r:id="rId4" w:history="1">
        <w:r w:rsidRPr="000F133D">
          <w:rPr>
            <w:rStyle w:val="Hyperlink"/>
            <w:rFonts w:ascii="Times New Roman" w:hAnsi="Times New Roman" w:cs="Times New Roman"/>
            <w:sz w:val="16"/>
            <w:szCs w:val="16"/>
          </w:rPr>
          <w:t>https://eur-lex.europa.eu/legal-content/HR/TXT/PDF/?uri=CELEX:32020R0972&amp;from=HR</w:t>
        </w:r>
      </w:hyperlink>
    </w:p>
  </w:footnote>
  <w:footnote w:id="5">
    <w:p w14:paraId="4E0206C9" w14:textId="3E61E581" w:rsidR="00D951EE" w:rsidRPr="000130D9" w:rsidRDefault="00D951EE" w:rsidP="00D951EE">
      <w:pPr>
        <w:pStyle w:val="FootnoteText"/>
        <w:jc w:val="both"/>
        <w:rPr>
          <w:rFonts w:ascii="Times New Roman" w:hAnsi="Times New Roman" w:cs="Times New Roman"/>
          <w:sz w:val="18"/>
          <w:szCs w:val="18"/>
          <w:lang w:val="hr-HR"/>
        </w:rPr>
      </w:pPr>
      <w:r w:rsidRPr="000F133D">
        <w:rPr>
          <w:rStyle w:val="FootnoteReference"/>
          <w:sz w:val="16"/>
          <w:szCs w:val="16"/>
        </w:rPr>
        <w:footnoteRef/>
      </w:r>
      <w:r w:rsidRPr="000F133D">
        <w:rPr>
          <w:rStyle w:val="FootnoteReference"/>
          <w:sz w:val="16"/>
          <w:szCs w:val="16"/>
        </w:rPr>
        <w:t xml:space="preserve"> </w:t>
      </w:r>
      <w:hyperlink r:id="rId5" w:history="1">
        <w:r w:rsidRPr="000F133D">
          <w:rPr>
            <w:rStyle w:val="Hyperlink"/>
            <w:rFonts w:ascii="Times New Roman" w:hAnsi="Times New Roman" w:cs="Times New Roman"/>
            <w:sz w:val="16"/>
            <w:szCs w:val="16"/>
          </w:rPr>
          <w:t>https://eur-lex.europa.eu/legal-content/HR/TXT/PDF/?uri=CELEX:32021R1237&amp;from=HR</w:t>
        </w:r>
      </w:hyperlink>
    </w:p>
  </w:footnote>
  <w:footnote w:id="6">
    <w:p w14:paraId="7B63D336" w14:textId="77777777" w:rsidR="00EC094D" w:rsidRPr="000F133D" w:rsidRDefault="00EC094D" w:rsidP="00E87298">
      <w:pPr>
        <w:pStyle w:val="FootnoteText"/>
        <w:jc w:val="both"/>
        <w:rPr>
          <w:rFonts w:asciiTheme="minorHAnsi" w:hAnsiTheme="minorHAnsi"/>
          <w:sz w:val="16"/>
          <w:szCs w:val="16"/>
          <w:lang w:val="hr-HR"/>
        </w:rPr>
      </w:pPr>
      <w:r w:rsidRPr="000F133D">
        <w:rPr>
          <w:rStyle w:val="FootnoteReference"/>
          <w:rFonts w:ascii="Times New Roman" w:hAnsi="Times New Roman" w:cs="Times New Roman"/>
          <w:sz w:val="16"/>
          <w:szCs w:val="16"/>
          <w:lang w:val="hr-HR"/>
        </w:rPr>
        <w:footnoteRef/>
      </w:r>
      <w:r w:rsidRPr="000F133D">
        <w:rPr>
          <w:rFonts w:ascii="Times New Roman" w:hAnsi="Times New Roman" w:cs="Times New Roman"/>
          <w:sz w:val="16"/>
          <w:szCs w:val="16"/>
          <w:lang w:val="hr-HR"/>
        </w:rPr>
        <w:t xml:space="preserve"> Prvi stavak članka 107. Ugovora o funkcioniranju Europske unije određuje elemente državne potpore navodeći da „svaka potpora koju dodijeli država članica ili koja se dodjeljuje putem državnih sredstava u bilo kojem obliku kojim se narušava ili prijeti da će narušiti tržišno natjecanje stavljanjem određenih poduzetnika ili proizvodnje određene robe u povoljniji položaj, nespojiva je s unutarnjim tržištem u mjeri u kojoj utječe na trgovinu među državama članicama", Ugovor o funkcioniranju Europske unije (UFEU, konsolidirana verzija, SL C 115/47, 9.5.2008).</w:t>
      </w:r>
    </w:p>
  </w:footnote>
  <w:footnote w:id="7">
    <w:p w14:paraId="3FAAAD5D" w14:textId="77777777" w:rsidR="00841612" w:rsidRPr="000F133D" w:rsidRDefault="00841612" w:rsidP="00841612">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b/>
          <w:sz w:val="16"/>
          <w:szCs w:val="16"/>
        </w:rPr>
        <w:footnoteRef/>
      </w:r>
      <w:r w:rsidRPr="000F133D">
        <w:rPr>
          <w:rFonts w:ascii="Times New Roman" w:hAnsi="Times New Roman" w:cs="Times New Roman"/>
          <w:sz w:val="16"/>
          <w:szCs w:val="16"/>
          <w:lang w:val="hr-HR"/>
        </w:rPr>
        <w:t xml:space="preserve"> Potrebno je napomenuti da ovo ne obuhvaća izobrazbu radne snage koja, kako je definirano u pravilima za državne potpore za usavršavanje, ne predstavlja neekonomsku primarnu djelatnost/aktivnost istraživačkih organizacija. Vidi čl. 31 </w:t>
      </w:r>
      <w:r w:rsidR="00CC6D09" w:rsidRPr="000F133D">
        <w:rPr>
          <w:rFonts w:ascii="Times New Roman" w:hAnsi="Times New Roman" w:cs="Times New Roman"/>
          <w:sz w:val="16"/>
          <w:szCs w:val="16"/>
          <w:lang w:val="hr-HR"/>
        </w:rPr>
        <w:t xml:space="preserve">Uredbe 651/2014 i Uredbe 1084/2017 </w:t>
      </w:r>
      <w:r w:rsidRPr="000F133D">
        <w:rPr>
          <w:rFonts w:ascii="Times New Roman" w:hAnsi="Times New Roman" w:cs="Times New Roman"/>
          <w:sz w:val="16"/>
          <w:szCs w:val="16"/>
          <w:lang w:val="hr-HR"/>
        </w:rPr>
        <w:t>u kojem se navode određene kategorije potpora koje su spojive s unutarnjim tržištem u primjeni članaka 107. i 108. Ugovora (OJ L 187, 26.6.2014,str. 1).</w:t>
      </w:r>
    </w:p>
  </w:footnote>
  <w:footnote w:id="8">
    <w:p w14:paraId="11C98E3F" w14:textId="77777777" w:rsidR="00841612" w:rsidRPr="000F133D" w:rsidRDefault="00841612" w:rsidP="00841612">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b/>
          <w:sz w:val="16"/>
          <w:szCs w:val="16"/>
          <w:lang w:val="hr-HR"/>
        </w:rPr>
        <w:footnoteRef/>
      </w:r>
      <w:r w:rsidRPr="000F133D">
        <w:rPr>
          <w:rFonts w:ascii="Times New Roman" w:hAnsi="Times New Roman" w:cs="Times New Roman"/>
          <w:sz w:val="16"/>
          <w:szCs w:val="16"/>
          <w:lang w:val="hr-HR"/>
        </w:rPr>
        <w:t xml:space="preserve"> Prema Okviru Zajednice, prijenos znanja znači bilo koji proces čiji je cilj stjecanje, prikupljanje i dijeljenje eksplicitnog i prešutnog znanja, uključujući vještine i sposobnosti u ekonomskim i neekonomskim djelatnostima/aktivnostima kao što su istraživačka suradnja, konzalting, licenciranje, osnivanje novih poduzeća, objavljivanje i mobilnost istraživača i drugog osoblja uključenog u te aktivnosti. Uz znanstveno i tehnološko znanje, prijenos znanja uključuje i druge oblike znanja, primjerice znanje o uporabi standarda i propisa koji ih sadržavaju te o uvjetima u stvarnim radnim okruženjima i metodama za inovaciju organizacije poslovanja te upravljanje znanjem povezanim s utvrđivanjem, stjecanjem, zaštitom, obranom i iskorištavanjem nematerijalne imovine.</w:t>
      </w:r>
    </w:p>
  </w:footnote>
  <w:footnote w:id="9">
    <w:p w14:paraId="7C62C8F8" w14:textId="1D83E939" w:rsidR="005909A1" w:rsidRPr="000F133D" w:rsidRDefault="005909A1" w:rsidP="00B65D21">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b/>
          <w:sz w:val="16"/>
          <w:szCs w:val="16"/>
        </w:rPr>
        <w:footnoteRef/>
      </w:r>
      <w:r w:rsidRPr="000F133D">
        <w:rPr>
          <w:rFonts w:ascii="Times New Roman" w:hAnsi="Times New Roman" w:cs="Times New Roman"/>
          <w:sz w:val="16"/>
          <w:szCs w:val="16"/>
        </w:rPr>
        <w:t xml:space="preserve"> </w:t>
      </w:r>
      <w:r w:rsidRPr="00401D38">
        <w:rPr>
          <w:rFonts w:ascii="Times New Roman" w:hAnsi="Times New Roman" w:cs="Times New Roman"/>
          <w:sz w:val="16"/>
          <w:szCs w:val="16"/>
          <w:lang w:val="hr-HR"/>
        </w:rPr>
        <w:t xml:space="preserve">Ako se dogodi da se kroz više Ugovora o dodjeli bespovratnih sredstava financira opremanje istog predmetnog </w:t>
      </w:r>
      <w:r w:rsidR="002B57F9">
        <w:rPr>
          <w:rFonts w:ascii="Times New Roman" w:hAnsi="Times New Roman" w:cs="Times New Roman"/>
          <w:sz w:val="16"/>
          <w:szCs w:val="16"/>
          <w:lang w:val="hr-HR"/>
        </w:rPr>
        <w:t>subjekta unutar jedne istraživačke</w:t>
      </w:r>
      <w:r w:rsidRPr="00401D38">
        <w:rPr>
          <w:rFonts w:ascii="Times New Roman" w:hAnsi="Times New Roman" w:cs="Times New Roman"/>
          <w:sz w:val="16"/>
          <w:szCs w:val="16"/>
          <w:lang w:val="hr-HR"/>
        </w:rPr>
        <w:t xml:space="preserve"> organizacije, odredba o pomoćnoj ekonomskoj djelatnosti (do 20% ukupnih godišnjih kapaciteta) pratit će se na razini kapaciteta predmetnog subjekta, bez obzira na broj Ugovora koji su doprinijeli njegovu opremanju. To ne mijenja obavezu svako</w:t>
      </w:r>
      <w:r w:rsidR="002B57F9">
        <w:rPr>
          <w:rFonts w:ascii="Times New Roman" w:hAnsi="Times New Roman" w:cs="Times New Roman"/>
          <w:sz w:val="16"/>
          <w:szCs w:val="16"/>
          <w:lang w:val="hr-HR"/>
        </w:rPr>
        <w:t>g pojedinog korisnika Ugovora</w:t>
      </w:r>
      <w:r w:rsidRPr="00401D38">
        <w:rPr>
          <w:rFonts w:ascii="Times New Roman" w:hAnsi="Times New Roman" w:cs="Times New Roman"/>
          <w:sz w:val="16"/>
          <w:szCs w:val="16"/>
          <w:lang w:val="hr-HR"/>
        </w:rPr>
        <w:t xml:space="preserve"> </w:t>
      </w:r>
      <w:r w:rsidR="002B57F9">
        <w:rPr>
          <w:rFonts w:ascii="Times New Roman" w:hAnsi="Times New Roman" w:cs="Times New Roman"/>
          <w:sz w:val="16"/>
          <w:szCs w:val="16"/>
          <w:lang w:val="hr-HR"/>
        </w:rPr>
        <w:t>o dostavljanju</w:t>
      </w:r>
      <w:r w:rsidRPr="00401D38">
        <w:rPr>
          <w:rFonts w:ascii="Times New Roman" w:hAnsi="Times New Roman" w:cs="Times New Roman"/>
          <w:sz w:val="16"/>
          <w:szCs w:val="16"/>
          <w:lang w:val="hr-HR"/>
        </w:rPr>
        <w:t xml:space="preserve"> godišnjih izvješća.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387B" w14:textId="454CE388" w:rsidR="00841455" w:rsidRPr="00585E17" w:rsidRDefault="000F133D" w:rsidP="000F133D">
    <w:pPr>
      <w:pStyle w:val="Header"/>
      <w:rPr>
        <w:rFonts w:asciiTheme="minorHAnsi" w:hAnsiTheme="minorHAnsi"/>
        <w:sz w:val="24"/>
        <w:lang w:val="hr-HR"/>
      </w:rPr>
    </w:pPr>
    <w:r>
      <w:rPr>
        <w:noProof/>
        <w:lang w:val="hr-HR" w:eastAsia="hr-HR"/>
      </w:rPr>
      <w:drawing>
        <wp:inline distT="0" distB="0" distL="0" distR="0" wp14:anchorId="409C478E" wp14:editId="4671D965">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rFonts w:ascii="Times New Roman" w:hAnsi="Times New Roman" w:cs="Times New Roman"/>
        <w:noProof/>
        <w:lang w:eastAsia="hr-HR"/>
      </w:rPr>
      <w:t xml:space="preserve">                          </w:t>
    </w:r>
    <w:r w:rsidRPr="00BD3AB9">
      <w:rPr>
        <w:rFonts w:ascii="Times New Roman" w:hAnsi="Times New Roman" w:cs="Times New Roman"/>
        <w:noProof/>
        <w:lang w:val="hr-HR" w:eastAsia="hr-HR"/>
      </w:rPr>
      <w:drawing>
        <wp:inline distT="0" distB="0" distL="0" distR="0" wp14:anchorId="3FB2D3C9" wp14:editId="4A73A3FB">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8D"/>
    <w:multiLevelType w:val="hybridMultilevel"/>
    <w:tmpl w:val="965CEDD2"/>
    <w:lvl w:ilvl="0" w:tplc="041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AF1F48"/>
    <w:multiLevelType w:val="multilevel"/>
    <w:tmpl w:val="A7086A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5F377B2"/>
    <w:multiLevelType w:val="hybridMultilevel"/>
    <w:tmpl w:val="B21C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E5345"/>
    <w:multiLevelType w:val="hybridMultilevel"/>
    <w:tmpl w:val="84FE69CE"/>
    <w:lvl w:ilvl="0" w:tplc="041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5447D2"/>
    <w:multiLevelType w:val="hybridMultilevel"/>
    <w:tmpl w:val="CB4A640C"/>
    <w:lvl w:ilvl="0" w:tplc="84646194">
      <w:start w:val="1"/>
      <w:numFmt w:val="bullet"/>
      <w:lvlText w:val="-"/>
      <w:lvlJc w:val="left"/>
      <w:pPr>
        <w:ind w:left="1080" w:hanging="360"/>
      </w:pPr>
      <w:rPr>
        <w:rFonts w:ascii="Corbel" w:eastAsiaTheme="minorHAnsi" w:hAnsi="Corbe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DA933D9"/>
    <w:multiLevelType w:val="hybridMultilevel"/>
    <w:tmpl w:val="8538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F1D5B"/>
    <w:multiLevelType w:val="hybridMultilevel"/>
    <w:tmpl w:val="B7E42556"/>
    <w:lvl w:ilvl="0" w:tplc="AE3811F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62E53"/>
    <w:multiLevelType w:val="hybridMultilevel"/>
    <w:tmpl w:val="DA56A1FC"/>
    <w:lvl w:ilvl="0" w:tplc="38D001F2">
      <w:start w:val="1"/>
      <w:numFmt w:val="lowerRoman"/>
      <w:lvlText w:val="%1)"/>
      <w:lvlJc w:val="left"/>
      <w:pPr>
        <w:ind w:left="1077"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8" w15:restartNumberingAfterBreak="0">
    <w:nsid w:val="13E314E6"/>
    <w:multiLevelType w:val="hybridMultilevel"/>
    <w:tmpl w:val="7E9CCC22"/>
    <w:lvl w:ilvl="0" w:tplc="00C261E8">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4331DD0"/>
    <w:multiLevelType w:val="hybridMultilevel"/>
    <w:tmpl w:val="A1EEC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254D8D"/>
    <w:multiLevelType w:val="hybridMultilevel"/>
    <w:tmpl w:val="BEE6EF60"/>
    <w:lvl w:ilvl="0" w:tplc="041A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6E7A11"/>
    <w:multiLevelType w:val="hybridMultilevel"/>
    <w:tmpl w:val="507E5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236A1A"/>
    <w:multiLevelType w:val="hybridMultilevel"/>
    <w:tmpl w:val="1D442114"/>
    <w:lvl w:ilvl="0" w:tplc="AD365D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840000"/>
    <w:multiLevelType w:val="hybridMultilevel"/>
    <w:tmpl w:val="7074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2D4817"/>
    <w:multiLevelType w:val="hybridMultilevel"/>
    <w:tmpl w:val="AF664A22"/>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53660A"/>
    <w:multiLevelType w:val="hybridMultilevel"/>
    <w:tmpl w:val="BFF82826"/>
    <w:lvl w:ilvl="0" w:tplc="041A000F">
      <w:start w:val="1"/>
      <w:numFmt w:val="decimal"/>
      <w:lvlText w:val="%1."/>
      <w:lvlJc w:val="left"/>
      <w:pPr>
        <w:ind w:left="1077"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6" w15:restartNumberingAfterBreak="0">
    <w:nsid w:val="1C5531CF"/>
    <w:multiLevelType w:val="hybridMultilevel"/>
    <w:tmpl w:val="239C8B90"/>
    <w:lvl w:ilvl="0" w:tplc="B3BCA2D4">
      <w:start w:val="1"/>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01F42"/>
    <w:multiLevelType w:val="hybridMultilevel"/>
    <w:tmpl w:val="CC929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733BAB"/>
    <w:multiLevelType w:val="hybridMultilevel"/>
    <w:tmpl w:val="94C837E6"/>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3408A7"/>
    <w:multiLevelType w:val="hybridMultilevel"/>
    <w:tmpl w:val="8482E2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3A4106"/>
    <w:multiLevelType w:val="hybridMultilevel"/>
    <w:tmpl w:val="7356155C"/>
    <w:lvl w:ilvl="0" w:tplc="EB1ADF9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0D2374"/>
    <w:multiLevelType w:val="hybridMultilevel"/>
    <w:tmpl w:val="B0D804D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298048C1"/>
    <w:multiLevelType w:val="hybridMultilevel"/>
    <w:tmpl w:val="82383C5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5511A8"/>
    <w:multiLevelType w:val="hybridMultilevel"/>
    <w:tmpl w:val="AF664A22"/>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AA3993"/>
    <w:multiLevelType w:val="hybridMultilevel"/>
    <w:tmpl w:val="0DAE31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2F922736"/>
    <w:multiLevelType w:val="multilevel"/>
    <w:tmpl w:val="B950B7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13632BD"/>
    <w:multiLevelType w:val="hybridMultilevel"/>
    <w:tmpl w:val="555C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096B76"/>
    <w:multiLevelType w:val="hybridMultilevel"/>
    <w:tmpl w:val="D2F48010"/>
    <w:lvl w:ilvl="0" w:tplc="0066C14A">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39CE580C"/>
    <w:multiLevelType w:val="hybridMultilevel"/>
    <w:tmpl w:val="8454312E"/>
    <w:lvl w:ilvl="0" w:tplc="1884D2F2">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B027B9C"/>
    <w:multiLevelType w:val="hybridMultilevel"/>
    <w:tmpl w:val="E038609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3B80658D"/>
    <w:multiLevelType w:val="hybridMultilevel"/>
    <w:tmpl w:val="4484CF70"/>
    <w:lvl w:ilvl="0" w:tplc="44C810A0">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1" w15:restartNumberingAfterBreak="0">
    <w:nsid w:val="46CE1EA6"/>
    <w:multiLevelType w:val="hybridMultilevel"/>
    <w:tmpl w:val="82383C5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6C2A04"/>
    <w:multiLevelType w:val="hybridMultilevel"/>
    <w:tmpl w:val="B6489DEC"/>
    <w:lvl w:ilvl="0" w:tplc="BE1A6E02">
      <w:start w:val="1"/>
      <w:numFmt w:val="lowerLetter"/>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33" w15:restartNumberingAfterBreak="0">
    <w:nsid w:val="4B2E6C5D"/>
    <w:multiLevelType w:val="hybridMultilevel"/>
    <w:tmpl w:val="D332C1A8"/>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784541"/>
    <w:multiLevelType w:val="hybridMultilevel"/>
    <w:tmpl w:val="4DDC4B4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542738"/>
    <w:multiLevelType w:val="hybridMultilevel"/>
    <w:tmpl w:val="9032665E"/>
    <w:lvl w:ilvl="0" w:tplc="041A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331BA5"/>
    <w:multiLevelType w:val="hybridMultilevel"/>
    <w:tmpl w:val="628AC39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572F77D5"/>
    <w:multiLevelType w:val="hybridMultilevel"/>
    <w:tmpl w:val="11589A38"/>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38" w15:restartNumberingAfterBreak="0">
    <w:nsid w:val="580B5F18"/>
    <w:multiLevelType w:val="hybridMultilevel"/>
    <w:tmpl w:val="CCD22C34"/>
    <w:lvl w:ilvl="0" w:tplc="041A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9A6076F"/>
    <w:multiLevelType w:val="hybridMultilevel"/>
    <w:tmpl w:val="AB707272"/>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40" w15:restartNumberingAfterBreak="0">
    <w:nsid w:val="5BBC0E78"/>
    <w:multiLevelType w:val="hybridMultilevel"/>
    <w:tmpl w:val="B63E191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6EC43DB"/>
    <w:multiLevelType w:val="hybridMultilevel"/>
    <w:tmpl w:val="D3A045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6A8B117D"/>
    <w:multiLevelType w:val="hybridMultilevel"/>
    <w:tmpl w:val="7DF6DBE6"/>
    <w:lvl w:ilvl="0" w:tplc="0CEAB238">
      <w:start w:val="1"/>
      <w:numFmt w:val="decimal"/>
      <w:lvlText w:val="%1.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AD651ED"/>
    <w:multiLevelType w:val="hybridMultilevel"/>
    <w:tmpl w:val="81D8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ED81D16"/>
    <w:multiLevelType w:val="hybridMultilevel"/>
    <w:tmpl w:val="225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2B11C8"/>
    <w:multiLevelType w:val="hybridMultilevel"/>
    <w:tmpl w:val="B906CA32"/>
    <w:lvl w:ilvl="0" w:tplc="041A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3D36D7"/>
    <w:multiLevelType w:val="hybridMultilevel"/>
    <w:tmpl w:val="BC22171C"/>
    <w:lvl w:ilvl="0" w:tplc="041A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49666B2"/>
    <w:multiLevelType w:val="hybridMultilevel"/>
    <w:tmpl w:val="1EA881F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75B15F89"/>
    <w:multiLevelType w:val="hybridMultilevel"/>
    <w:tmpl w:val="82383C5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D5623"/>
    <w:multiLevelType w:val="hybridMultilevel"/>
    <w:tmpl w:val="B63E191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DFF0154"/>
    <w:multiLevelType w:val="hybridMultilevel"/>
    <w:tmpl w:val="2B163F22"/>
    <w:lvl w:ilvl="0" w:tplc="29E8379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FD0A4B"/>
    <w:multiLevelType w:val="hybridMultilevel"/>
    <w:tmpl w:val="037C05E8"/>
    <w:lvl w:ilvl="0" w:tplc="041A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F02503B"/>
    <w:multiLevelType w:val="hybridMultilevel"/>
    <w:tmpl w:val="2706943A"/>
    <w:lvl w:ilvl="0" w:tplc="F45E5AC2">
      <w:start w:val="1"/>
      <w:numFmt w:val="decimal"/>
      <w:lvlText w:val="%1."/>
      <w:lvlJc w:val="left"/>
      <w:pPr>
        <w:ind w:left="720" w:hanging="360"/>
      </w:pPr>
      <w:rPr>
        <w:rFonts w:ascii="Corbel" w:eastAsiaTheme="minorHAnsi" w:hAnsi="Corbel"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9"/>
  </w:num>
  <w:num w:numId="4">
    <w:abstractNumId w:val="17"/>
  </w:num>
  <w:num w:numId="5">
    <w:abstractNumId w:val="48"/>
  </w:num>
  <w:num w:numId="6">
    <w:abstractNumId w:val="25"/>
  </w:num>
  <w:num w:numId="7">
    <w:abstractNumId w:val="25"/>
  </w:num>
  <w:num w:numId="8">
    <w:abstractNumId w:val="25"/>
  </w:num>
  <w:num w:numId="9">
    <w:abstractNumId w:val="14"/>
  </w:num>
  <w:num w:numId="10">
    <w:abstractNumId w:val="19"/>
  </w:num>
  <w:num w:numId="11">
    <w:abstractNumId w:val="25"/>
  </w:num>
  <w:num w:numId="12">
    <w:abstractNumId w:val="20"/>
  </w:num>
  <w:num w:numId="13">
    <w:abstractNumId w:val="52"/>
  </w:num>
  <w:num w:numId="14">
    <w:abstractNumId w:val="25"/>
  </w:num>
  <w:num w:numId="15">
    <w:abstractNumId w:val="4"/>
  </w:num>
  <w:num w:numId="16">
    <w:abstractNumId w:val="23"/>
  </w:num>
  <w:num w:numId="17">
    <w:abstractNumId w:val="42"/>
  </w:num>
  <w:num w:numId="18">
    <w:abstractNumId w:val="50"/>
  </w:num>
  <w:num w:numId="19">
    <w:abstractNumId w:val="6"/>
  </w:num>
  <w:num w:numId="20">
    <w:abstractNumId w:val="18"/>
  </w:num>
  <w:num w:numId="21">
    <w:abstractNumId w:val="3"/>
  </w:num>
  <w:num w:numId="22">
    <w:abstractNumId w:val="16"/>
  </w:num>
  <w:num w:numId="23">
    <w:abstractNumId w:val="28"/>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2"/>
  </w:num>
  <w:num w:numId="28">
    <w:abstractNumId w:val="46"/>
  </w:num>
  <w:num w:numId="29">
    <w:abstractNumId w:val="8"/>
  </w:num>
  <w:num w:numId="30">
    <w:abstractNumId w:val="34"/>
  </w:num>
  <w:num w:numId="31">
    <w:abstractNumId w:val="5"/>
  </w:num>
  <w:num w:numId="32">
    <w:abstractNumId w:val="2"/>
  </w:num>
  <w:num w:numId="33">
    <w:abstractNumId w:val="44"/>
  </w:num>
  <w:num w:numId="34">
    <w:abstractNumId w:val="13"/>
  </w:num>
  <w:num w:numId="35">
    <w:abstractNumId w:val="26"/>
  </w:num>
  <w:num w:numId="36">
    <w:abstractNumId w:val="24"/>
  </w:num>
  <w:num w:numId="37">
    <w:abstractNumId w:val="51"/>
  </w:num>
  <w:num w:numId="38">
    <w:abstractNumId w:val="38"/>
  </w:num>
  <w:num w:numId="39">
    <w:abstractNumId w:val="1"/>
  </w:num>
  <w:num w:numId="40">
    <w:abstractNumId w:val="45"/>
  </w:num>
  <w:num w:numId="41">
    <w:abstractNumId w:val="35"/>
  </w:num>
  <w:num w:numId="42">
    <w:abstractNumId w:val="39"/>
  </w:num>
  <w:num w:numId="43">
    <w:abstractNumId w:val="7"/>
  </w:num>
  <w:num w:numId="44">
    <w:abstractNumId w:val="15"/>
  </w:num>
  <w:num w:numId="45">
    <w:abstractNumId w:val="21"/>
  </w:num>
  <w:num w:numId="46">
    <w:abstractNumId w:val="10"/>
  </w:num>
  <w:num w:numId="47">
    <w:abstractNumId w:val="0"/>
  </w:num>
  <w:num w:numId="48">
    <w:abstractNumId w:val="31"/>
  </w:num>
  <w:num w:numId="49">
    <w:abstractNumId w:val="32"/>
  </w:num>
  <w:num w:numId="50">
    <w:abstractNumId w:val="37"/>
  </w:num>
  <w:num w:numId="51">
    <w:abstractNumId w:val="22"/>
  </w:num>
  <w:num w:numId="52">
    <w:abstractNumId w:val="11"/>
  </w:num>
  <w:num w:numId="53">
    <w:abstractNumId w:val="29"/>
  </w:num>
  <w:num w:numId="54">
    <w:abstractNumId w:val="27"/>
  </w:num>
  <w:num w:numId="55">
    <w:abstractNumId w:val="40"/>
  </w:num>
  <w:num w:numId="56">
    <w:abstractNumId w:val="49"/>
  </w:num>
  <w:num w:numId="57">
    <w:abstractNumId w:val="36"/>
  </w:num>
  <w:num w:numId="58">
    <w:abstractNumId w:val="47"/>
  </w:num>
  <w:num w:numId="59">
    <w:abstractNumId w:val="41"/>
  </w:num>
  <w:num w:numId="60">
    <w:abstractNumId w:val="43"/>
  </w:num>
  <w:num w:numId="6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C7"/>
    <w:rsid w:val="00001F25"/>
    <w:rsid w:val="00004647"/>
    <w:rsid w:val="0000496E"/>
    <w:rsid w:val="00010096"/>
    <w:rsid w:val="000130D9"/>
    <w:rsid w:val="0001544D"/>
    <w:rsid w:val="000158FE"/>
    <w:rsid w:val="00017BA8"/>
    <w:rsid w:val="0002340C"/>
    <w:rsid w:val="000253AD"/>
    <w:rsid w:val="00030E89"/>
    <w:rsid w:val="00032730"/>
    <w:rsid w:val="00037BD6"/>
    <w:rsid w:val="00037EF6"/>
    <w:rsid w:val="000402DC"/>
    <w:rsid w:val="00043276"/>
    <w:rsid w:val="00050D9D"/>
    <w:rsid w:val="000553C8"/>
    <w:rsid w:val="0005665F"/>
    <w:rsid w:val="00056F80"/>
    <w:rsid w:val="00057951"/>
    <w:rsid w:val="00057CE9"/>
    <w:rsid w:val="00071031"/>
    <w:rsid w:val="00074822"/>
    <w:rsid w:val="00074A40"/>
    <w:rsid w:val="00075EEB"/>
    <w:rsid w:val="00076EB6"/>
    <w:rsid w:val="00084F09"/>
    <w:rsid w:val="00090674"/>
    <w:rsid w:val="00091CBC"/>
    <w:rsid w:val="00092476"/>
    <w:rsid w:val="0009260B"/>
    <w:rsid w:val="0009719A"/>
    <w:rsid w:val="000A6E37"/>
    <w:rsid w:val="000B01F3"/>
    <w:rsid w:val="000C1ABB"/>
    <w:rsid w:val="000C31AF"/>
    <w:rsid w:val="000C328A"/>
    <w:rsid w:val="000D0FF8"/>
    <w:rsid w:val="000D35B2"/>
    <w:rsid w:val="000D4A93"/>
    <w:rsid w:val="000D5593"/>
    <w:rsid w:val="000D7E74"/>
    <w:rsid w:val="000F133D"/>
    <w:rsid w:val="000F2263"/>
    <w:rsid w:val="0010262D"/>
    <w:rsid w:val="0010371B"/>
    <w:rsid w:val="00110E07"/>
    <w:rsid w:val="001116B7"/>
    <w:rsid w:val="00113DB9"/>
    <w:rsid w:val="001162C6"/>
    <w:rsid w:val="00130C80"/>
    <w:rsid w:val="00131E9F"/>
    <w:rsid w:val="00135557"/>
    <w:rsid w:val="001376DE"/>
    <w:rsid w:val="001528C3"/>
    <w:rsid w:val="00154201"/>
    <w:rsid w:val="00155434"/>
    <w:rsid w:val="00160F83"/>
    <w:rsid w:val="00162B01"/>
    <w:rsid w:val="00163276"/>
    <w:rsid w:val="001669E8"/>
    <w:rsid w:val="00166E1C"/>
    <w:rsid w:val="001715D6"/>
    <w:rsid w:val="001755CF"/>
    <w:rsid w:val="0017716D"/>
    <w:rsid w:val="00191394"/>
    <w:rsid w:val="001A18CE"/>
    <w:rsid w:val="001B059C"/>
    <w:rsid w:val="001B6325"/>
    <w:rsid w:val="001C0361"/>
    <w:rsid w:val="001C3B5C"/>
    <w:rsid w:val="001C4206"/>
    <w:rsid w:val="001D01E0"/>
    <w:rsid w:val="001D2A5A"/>
    <w:rsid w:val="001D4842"/>
    <w:rsid w:val="001D5661"/>
    <w:rsid w:val="001D60BD"/>
    <w:rsid w:val="001D656E"/>
    <w:rsid w:val="001E7365"/>
    <w:rsid w:val="001E7EF3"/>
    <w:rsid w:val="001F0808"/>
    <w:rsid w:val="001F1CBD"/>
    <w:rsid w:val="001F26EE"/>
    <w:rsid w:val="001F2C9E"/>
    <w:rsid w:val="001F3D9A"/>
    <w:rsid w:val="00202CC2"/>
    <w:rsid w:val="00204451"/>
    <w:rsid w:val="00211649"/>
    <w:rsid w:val="00213774"/>
    <w:rsid w:val="00213C96"/>
    <w:rsid w:val="002178A3"/>
    <w:rsid w:val="00221A02"/>
    <w:rsid w:val="002237E0"/>
    <w:rsid w:val="00224C9F"/>
    <w:rsid w:val="00225EF0"/>
    <w:rsid w:val="00232F83"/>
    <w:rsid w:val="0023739D"/>
    <w:rsid w:val="00241579"/>
    <w:rsid w:val="002508C6"/>
    <w:rsid w:val="00252D90"/>
    <w:rsid w:val="0026154E"/>
    <w:rsid w:val="00261DBC"/>
    <w:rsid w:val="0026308E"/>
    <w:rsid w:val="002639EE"/>
    <w:rsid w:val="0026407F"/>
    <w:rsid w:val="00280091"/>
    <w:rsid w:val="00281074"/>
    <w:rsid w:val="00282704"/>
    <w:rsid w:val="0028469A"/>
    <w:rsid w:val="00292DCC"/>
    <w:rsid w:val="00294ACD"/>
    <w:rsid w:val="002A0C33"/>
    <w:rsid w:val="002A68A5"/>
    <w:rsid w:val="002A6D07"/>
    <w:rsid w:val="002B57F9"/>
    <w:rsid w:val="002C208F"/>
    <w:rsid w:val="002C61B8"/>
    <w:rsid w:val="002C7D0A"/>
    <w:rsid w:val="002D2AD8"/>
    <w:rsid w:val="002D4D49"/>
    <w:rsid w:val="002E168D"/>
    <w:rsid w:val="002E2D6F"/>
    <w:rsid w:val="002E3F46"/>
    <w:rsid w:val="002E5DA0"/>
    <w:rsid w:val="002F5DAF"/>
    <w:rsid w:val="002F7506"/>
    <w:rsid w:val="002F767F"/>
    <w:rsid w:val="00301B1A"/>
    <w:rsid w:val="00304CFD"/>
    <w:rsid w:val="00305AB3"/>
    <w:rsid w:val="00306D9A"/>
    <w:rsid w:val="00311C63"/>
    <w:rsid w:val="00312EC9"/>
    <w:rsid w:val="00316B8B"/>
    <w:rsid w:val="00317738"/>
    <w:rsid w:val="00322222"/>
    <w:rsid w:val="00333164"/>
    <w:rsid w:val="00336D92"/>
    <w:rsid w:val="0033708D"/>
    <w:rsid w:val="0034273C"/>
    <w:rsid w:val="00345ABB"/>
    <w:rsid w:val="00345C7C"/>
    <w:rsid w:val="00347B19"/>
    <w:rsid w:val="00350A83"/>
    <w:rsid w:val="00355396"/>
    <w:rsid w:val="00356D9E"/>
    <w:rsid w:val="00360232"/>
    <w:rsid w:val="0036074E"/>
    <w:rsid w:val="003618C9"/>
    <w:rsid w:val="00361FA9"/>
    <w:rsid w:val="00363629"/>
    <w:rsid w:val="00363A92"/>
    <w:rsid w:val="003640BF"/>
    <w:rsid w:val="00370BC8"/>
    <w:rsid w:val="003744B2"/>
    <w:rsid w:val="0037468A"/>
    <w:rsid w:val="00376EC8"/>
    <w:rsid w:val="003779A2"/>
    <w:rsid w:val="003910C2"/>
    <w:rsid w:val="00391F31"/>
    <w:rsid w:val="003920D6"/>
    <w:rsid w:val="003930B5"/>
    <w:rsid w:val="0039346D"/>
    <w:rsid w:val="00395831"/>
    <w:rsid w:val="003970D4"/>
    <w:rsid w:val="003A20A3"/>
    <w:rsid w:val="003A65BE"/>
    <w:rsid w:val="003A76AA"/>
    <w:rsid w:val="003B5B4A"/>
    <w:rsid w:val="003B79C8"/>
    <w:rsid w:val="003C27B8"/>
    <w:rsid w:val="003C3396"/>
    <w:rsid w:val="003C38B0"/>
    <w:rsid w:val="003C3970"/>
    <w:rsid w:val="003D1702"/>
    <w:rsid w:val="003D27E5"/>
    <w:rsid w:val="003D33C8"/>
    <w:rsid w:val="003E37D5"/>
    <w:rsid w:val="003E55F0"/>
    <w:rsid w:val="003F1B7A"/>
    <w:rsid w:val="003F6789"/>
    <w:rsid w:val="00401D38"/>
    <w:rsid w:val="00402847"/>
    <w:rsid w:val="00404105"/>
    <w:rsid w:val="0041001F"/>
    <w:rsid w:val="00415EA1"/>
    <w:rsid w:val="004174CA"/>
    <w:rsid w:val="0042280A"/>
    <w:rsid w:val="004237A3"/>
    <w:rsid w:val="00426BF5"/>
    <w:rsid w:val="0043717A"/>
    <w:rsid w:val="00437A8C"/>
    <w:rsid w:val="00440997"/>
    <w:rsid w:val="00442270"/>
    <w:rsid w:val="004438E2"/>
    <w:rsid w:val="004531BE"/>
    <w:rsid w:val="0045382F"/>
    <w:rsid w:val="004554A6"/>
    <w:rsid w:val="00455EFD"/>
    <w:rsid w:val="004638D2"/>
    <w:rsid w:val="004671F7"/>
    <w:rsid w:val="004720AD"/>
    <w:rsid w:val="00472D41"/>
    <w:rsid w:val="00474D97"/>
    <w:rsid w:val="00475A0F"/>
    <w:rsid w:val="00477DEC"/>
    <w:rsid w:val="00483BCA"/>
    <w:rsid w:val="00484F46"/>
    <w:rsid w:val="004864ED"/>
    <w:rsid w:val="00486AD9"/>
    <w:rsid w:val="00490D26"/>
    <w:rsid w:val="00494717"/>
    <w:rsid w:val="00495916"/>
    <w:rsid w:val="00495C0C"/>
    <w:rsid w:val="004970A6"/>
    <w:rsid w:val="004A5483"/>
    <w:rsid w:val="004B0BD3"/>
    <w:rsid w:val="004B146B"/>
    <w:rsid w:val="004B7420"/>
    <w:rsid w:val="004B782E"/>
    <w:rsid w:val="004C0649"/>
    <w:rsid w:val="004C2599"/>
    <w:rsid w:val="004C3FE4"/>
    <w:rsid w:val="004C4354"/>
    <w:rsid w:val="004D0680"/>
    <w:rsid w:val="004D10BB"/>
    <w:rsid w:val="004D2120"/>
    <w:rsid w:val="004E162B"/>
    <w:rsid w:val="004F3C62"/>
    <w:rsid w:val="004F57EE"/>
    <w:rsid w:val="00500C5A"/>
    <w:rsid w:val="005039EC"/>
    <w:rsid w:val="00504EA5"/>
    <w:rsid w:val="005117E8"/>
    <w:rsid w:val="00511FB7"/>
    <w:rsid w:val="005136E5"/>
    <w:rsid w:val="00513C80"/>
    <w:rsid w:val="00517929"/>
    <w:rsid w:val="00524420"/>
    <w:rsid w:val="00524D9B"/>
    <w:rsid w:val="00527E1B"/>
    <w:rsid w:val="00532CC6"/>
    <w:rsid w:val="00534253"/>
    <w:rsid w:val="00535949"/>
    <w:rsid w:val="005466CC"/>
    <w:rsid w:val="00551E79"/>
    <w:rsid w:val="005520BF"/>
    <w:rsid w:val="00553226"/>
    <w:rsid w:val="005634A9"/>
    <w:rsid w:val="00565828"/>
    <w:rsid w:val="00571E92"/>
    <w:rsid w:val="005736ED"/>
    <w:rsid w:val="00573844"/>
    <w:rsid w:val="00585E17"/>
    <w:rsid w:val="00586820"/>
    <w:rsid w:val="005909A1"/>
    <w:rsid w:val="005942B8"/>
    <w:rsid w:val="00596905"/>
    <w:rsid w:val="005A0C5C"/>
    <w:rsid w:val="005A1FEB"/>
    <w:rsid w:val="005A55DE"/>
    <w:rsid w:val="005A738C"/>
    <w:rsid w:val="005B3242"/>
    <w:rsid w:val="005B4BB0"/>
    <w:rsid w:val="005B6A11"/>
    <w:rsid w:val="005B6CDC"/>
    <w:rsid w:val="005B779A"/>
    <w:rsid w:val="005C16E1"/>
    <w:rsid w:val="005C1D0C"/>
    <w:rsid w:val="005C22DB"/>
    <w:rsid w:val="005C2A25"/>
    <w:rsid w:val="005C7AD7"/>
    <w:rsid w:val="005D1098"/>
    <w:rsid w:val="005D1EBF"/>
    <w:rsid w:val="005D257C"/>
    <w:rsid w:val="005D500E"/>
    <w:rsid w:val="005E15BC"/>
    <w:rsid w:val="005E1DDA"/>
    <w:rsid w:val="005E559D"/>
    <w:rsid w:val="005F6ADC"/>
    <w:rsid w:val="005F7010"/>
    <w:rsid w:val="00600907"/>
    <w:rsid w:val="00604B9F"/>
    <w:rsid w:val="00606DDC"/>
    <w:rsid w:val="00614C94"/>
    <w:rsid w:val="006154E9"/>
    <w:rsid w:val="0062645B"/>
    <w:rsid w:val="00627FCA"/>
    <w:rsid w:val="006346DE"/>
    <w:rsid w:val="00641396"/>
    <w:rsid w:val="00641BD9"/>
    <w:rsid w:val="00641F26"/>
    <w:rsid w:val="00641FC6"/>
    <w:rsid w:val="00655A1A"/>
    <w:rsid w:val="00656231"/>
    <w:rsid w:val="006569E7"/>
    <w:rsid w:val="00656E2F"/>
    <w:rsid w:val="00661463"/>
    <w:rsid w:val="00663C1B"/>
    <w:rsid w:val="006726D4"/>
    <w:rsid w:val="00674D56"/>
    <w:rsid w:val="0068079A"/>
    <w:rsid w:val="00685873"/>
    <w:rsid w:val="006861CA"/>
    <w:rsid w:val="006A3A62"/>
    <w:rsid w:val="006B0C26"/>
    <w:rsid w:val="006B2EC4"/>
    <w:rsid w:val="006B3514"/>
    <w:rsid w:val="006B4007"/>
    <w:rsid w:val="006B454B"/>
    <w:rsid w:val="006C0EFC"/>
    <w:rsid w:val="006C364E"/>
    <w:rsid w:val="006D43D7"/>
    <w:rsid w:val="006D4978"/>
    <w:rsid w:val="006E3718"/>
    <w:rsid w:val="006E5CC2"/>
    <w:rsid w:val="006E6CB2"/>
    <w:rsid w:val="006F11DC"/>
    <w:rsid w:val="006F1EAA"/>
    <w:rsid w:val="006F322A"/>
    <w:rsid w:val="006F3724"/>
    <w:rsid w:val="006F377C"/>
    <w:rsid w:val="006F60A2"/>
    <w:rsid w:val="007028F0"/>
    <w:rsid w:val="00702F8A"/>
    <w:rsid w:val="00705B6A"/>
    <w:rsid w:val="00710224"/>
    <w:rsid w:val="007148B3"/>
    <w:rsid w:val="0072087F"/>
    <w:rsid w:val="00721A04"/>
    <w:rsid w:val="007234A6"/>
    <w:rsid w:val="00726509"/>
    <w:rsid w:val="00731557"/>
    <w:rsid w:val="00731940"/>
    <w:rsid w:val="00732099"/>
    <w:rsid w:val="00732CFA"/>
    <w:rsid w:val="00732F42"/>
    <w:rsid w:val="0073340F"/>
    <w:rsid w:val="0073697C"/>
    <w:rsid w:val="00737EE9"/>
    <w:rsid w:val="00742B46"/>
    <w:rsid w:val="007432F2"/>
    <w:rsid w:val="00761EC8"/>
    <w:rsid w:val="00762E19"/>
    <w:rsid w:val="00764071"/>
    <w:rsid w:val="0076551C"/>
    <w:rsid w:val="00766C6A"/>
    <w:rsid w:val="00770EFD"/>
    <w:rsid w:val="0077507A"/>
    <w:rsid w:val="007765B7"/>
    <w:rsid w:val="007777B9"/>
    <w:rsid w:val="00782C18"/>
    <w:rsid w:val="00787903"/>
    <w:rsid w:val="007917C8"/>
    <w:rsid w:val="007A3758"/>
    <w:rsid w:val="007A5EF8"/>
    <w:rsid w:val="007B1376"/>
    <w:rsid w:val="007B1949"/>
    <w:rsid w:val="007B2DAC"/>
    <w:rsid w:val="007B6FA6"/>
    <w:rsid w:val="007C3E8C"/>
    <w:rsid w:val="007C6D1A"/>
    <w:rsid w:val="007C6F0C"/>
    <w:rsid w:val="007D64F2"/>
    <w:rsid w:val="007E3F26"/>
    <w:rsid w:val="007F1D63"/>
    <w:rsid w:val="007F7FAA"/>
    <w:rsid w:val="0080310D"/>
    <w:rsid w:val="00804DCA"/>
    <w:rsid w:val="00805C40"/>
    <w:rsid w:val="00822D5E"/>
    <w:rsid w:val="008232D0"/>
    <w:rsid w:val="00825AE3"/>
    <w:rsid w:val="00841455"/>
    <w:rsid w:val="00841612"/>
    <w:rsid w:val="00846A7A"/>
    <w:rsid w:val="00854B87"/>
    <w:rsid w:val="008643DF"/>
    <w:rsid w:val="00866823"/>
    <w:rsid w:val="00870D69"/>
    <w:rsid w:val="008721AA"/>
    <w:rsid w:val="0087729C"/>
    <w:rsid w:val="0088076B"/>
    <w:rsid w:val="00882044"/>
    <w:rsid w:val="0088367C"/>
    <w:rsid w:val="00895724"/>
    <w:rsid w:val="008A1F7B"/>
    <w:rsid w:val="008A6189"/>
    <w:rsid w:val="008B1666"/>
    <w:rsid w:val="008B2C85"/>
    <w:rsid w:val="008B6430"/>
    <w:rsid w:val="008C1A8A"/>
    <w:rsid w:val="008C3983"/>
    <w:rsid w:val="008C42D9"/>
    <w:rsid w:val="008C54D6"/>
    <w:rsid w:val="008C6B07"/>
    <w:rsid w:val="008E041C"/>
    <w:rsid w:val="008E3E66"/>
    <w:rsid w:val="008E5DCA"/>
    <w:rsid w:val="008F344E"/>
    <w:rsid w:val="008F7355"/>
    <w:rsid w:val="00903A14"/>
    <w:rsid w:val="009054AC"/>
    <w:rsid w:val="009162D7"/>
    <w:rsid w:val="00917CED"/>
    <w:rsid w:val="009222F3"/>
    <w:rsid w:val="009224B4"/>
    <w:rsid w:val="0092309F"/>
    <w:rsid w:val="009267D2"/>
    <w:rsid w:val="00930AD6"/>
    <w:rsid w:val="009417EF"/>
    <w:rsid w:val="00941920"/>
    <w:rsid w:val="00950110"/>
    <w:rsid w:val="00950B61"/>
    <w:rsid w:val="0095382B"/>
    <w:rsid w:val="00957622"/>
    <w:rsid w:val="009613D2"/>
    <w:rsid w:val="00964AAD"/>
    <w:rsid w:val="00965557"/>
    <w:rsid w:val="0096654C"/>
    <w:rsid w:val="00980E00"/>
    <w:rsid w:val="00982829"/>
    <w:rsid w:val="009840F5"/>
    <w:rsid w:val="00986677"/>
    <w:rsid w:val="009A19EC"/>
    <w:rsid w:val="009A34C7"/>
    <w:rsid w:val="009B00D6"/>
    <w:rsid w:val="009B7595"/>
    <w:rsid w:val="009C367A"/>
    <w:rsid w:val="009C6356"/>
    <w:rsid w:val="009D094B"/>
    <w:rsid w:val="009D0FBF"/>
    <w:rsid w:val="009D1A20"/>
    <w:rsid w:val="009D1E57"/>
    <w:rsid w:val="009D428F"/>
    <w:rsid w:val="009D46C3"/>
    <w:rsid w:val="009D48D4"/>
    <w:rsid w:val="009D4978"/>
    <w:rsid w:val="009D4B90"/>
    <w:rsid w:val="009D5D01"/>
    <w:rsid w:val="009D6984"/>
    <w:rsid w:val="009E0D2F"/>
    <w:rsid w:val="009E2CEA"/>
    <w:rsid w:val="009E38CC"/>
    <w:rsid w:val="009E5089"/>
    <w:rsid w:val="009F040B"/>
    <w:rsid w:val="009F32F9"/>
    <w:rsid w:val="009F5B25"/>
    <w:rsid w:val="009F6A85"/>
    <w:rsid w:val="009F702C"/>
    <w:rsid w:val="00A01552"/>
    <w:rsid w:val="00A030D4"/>
    <w:rsid w:val="00A20DC3"/>
    <w:rsid w:val="00A2358E"/>
    <w:rsid w:val="00A248FD"/>
    <w:rsid w:val="00A25372"/>
    <w:rsid w:val="00A2550D"/>
    <w:rsid w:val="00A25C59"/>
    <w:rsid w:val="00A27933"/>
    <w:rsid w:val="00A3344A"/>
    <w:rsid w:val="00A36623"/>
    <w:rsid w:val="00A373AF"/>
    <w:rsid w:val="00A44438"/>
    <w:rsid w:val="00A45075"/>
    <w:rsid w:val="00A46941"/>
    <w:rsid w:val="00A515D5"/>
    <w:rsid w:val="00A515DC"/>
    <w:rsid w:val="00A51DD5"/>
    <w:rsid w:val="00A56B2E"/>
    <w:rsid w:val="00A604E3"/>
    <w:rsid w:val="00A6380A"/>
    <w:rsid w:val="00A64AE8"/>
    <w:rsid w:val="00A65695"/>
    <w:rsid w:val="00A75D02"/>
    <w:rsid w:val="00A84775"/>
    <w:rsid w:val="00A855E1"/>
    <w:rsid w:val="00A90AA1"/>
    <w:rsid w:val="00A912B4"/>
    <w:rsid w:val="00A92168"/>
    <w:rsid w:val="00AA3769"/>
    <w:rsid w:val="00AB0FE0"/>
    <w:rsid w:val="00AB3ACE"/>
    <w:rsid w:val="00AB64E7"/>
    <w:rsid w:val="00AB6DBA"/>
    <w:rsid w:val="00AC0571"/>
    <w:rsid w:val="00AD2131"/>
    <w:rsid w:val="00AD28D4"/>
    <w:rsid w:val="00AD4F01"/>
    <w:rsid w:val="00AD532C"/>
    <w:rsid w:val="00AD6271"/>
    <w:rsid w:val="00AE0E00"/>
    <w:rsid w:val="00AE59A9"/>
    <w:rsid w:val="00AE7AE2"/>
    <w:rsid w:val="00AF4C59"/>
    <w:rsid w:val="00B02E02"/>
    <w:rsid w:val="00B0477A"/>
    <w:rsid w:val="00B05A1B"/>
    <w:rsid w:val="00B06619"/>
    <w:rsid w:val="00B14222"/>
    <w:rsid w:val="00B22D73"/>
    <w:rsid w:val="00B31E38"/>
    <w:rsid w:val="00B3382F"/>
    <w:rsid w:val="00B51BFA"/>
    <w:rsid w:val="00B53249"/>
    <w:rsid w:val="00B60F48"/>
    <w:rsid w:val="00B61012"/>
    <w:rsid w:val="00B611C8"/>
    <w:rsid w:val="00B65BB0"/>
    <w:rsid w:val="00B65D21"/>
    <w:rsid w:val="00B660DD"/>
    <w:rsid w:val="00B66265"/>
    <w:rsid w:val="00B67B6E"/>
    <w:rsid w:val="00B72BCE"/>
    <w:rsid w:val="00B832EA"/>
    <w:rsid w:val="00B85096"/>
    <w:rsid w:val="00B873B9"/>
    <w:rsid w:val="00B9178E"/>
    <w:rsid w:val="00B95D3D"/>
    <w:rsid w:val="00BA11CD"/>
    <w:rsid w:val="00BA1F02"/>
    <w:rsid w:val="00BA4282"/>
    <w:rsid w:val="00BA4BAA"/>
    <w:rsid w:val="00BB5900"/>
    <w:rsid w:val="00BC28E4"/>
    <w:rsid w:val="00BC4576"/>
    <w:rsid w:val="00BC4D18"/>
    <w:rsid w:val="00BD0154"/>
    <w:rsid w:val="00BD1E6D"/>
    <w:rsid w:val="00BD2392"/>
    <w:rsid w:val="00BE2CF8"/>
    <w:rsid w:val="00BF19BA"/>
    <w:rsid w:val="00BF2718"/>
    <w:rsid w:val="00BF5328"/>
    <w:rsid w:val="00BF5D0E"/>
    <w:rsid w:val="00BF6823"/>
    <w:rsid w:val="00C0094C"/>
    <w:rsid w:val="00C0417B"/>
    <w:rsid w:val="00C044A5"/>
    <w:rsid w:val="00C05B34"/>
    <w:rsid w:val="00C1365B"/>
    <w:rsid w:val="00C15DFC"/>
    <w:rsid w:val="00C16364"/>
    <w:rsid w:val="00C25260"/>
    <w:rsid w:val="00C25B77"/>
    <w:rsid w:val="00C305A0"/>
    <w:rsid w:val="00C306F6"/>
    <w:rsid w:val="00C35659"/>
    <w:rsid w:val="00C37EEE"/>
    <w:rsid w:val="00C42B30"/>
    <w:rsid w:val="00C4776D"/>
    <w:rsid w:val="00C5190C"/>
    <w:rsid w:val="00C557A9"/>
    <w:rsid w:val="00C56264"/>
    <w:rsid w:val="00C6129B"/>
    <w:rsid w:val="00C61C81"/>
    <w:rsid w:val="00C622C7"/>
    <w:rsid w:val="00C642E2"/>
    <w:rsid w:val="00C6439E"/>
    <w:rsid w:val="00C6612E"/>
    <w:rsid w:val="00C748CE"/>
    <w:rsid w:val="00C805B3"/>
    <w:rsid w:val="00C8095A"/>
    <w:rsid w:val="00C84C1A"/>
    <w:rsid w:val="00C8615F"/>
    <w:rsid w:val="00C877E3"/>
    <w:rsid w:val="00C91CB3"/>
    <w:rsid w:val="00C9203F"/>
    <w:rsid w:val="00C923BC"/>
    <w:rsid w:val="00C927F5"/>
    <w:rsid w:val="00C95CD2"/>
    <w:rsid w:val="00CA62EB"/>
    <w:rsid w:val="00CB1F54"/>
    <w:rsid w:val="00CC1F30"/>
    <w:rsid w:val="00CC594A"/>
    <w:rsid w:val="00CC6D09"/>
    <w:rsid w:val="00CD2FD1"/>
    <w:rsid w:val="00CD4121"/>
    <w:rsid w:val="00CD6A8A"/>
    <w:rsid w:val="00CD7E3B"/>
    <w:rsid w:val="00CE311C"/>
    <w:rsid w:val="00CE3234"/>
    <w:rsid w:val="00CE3243"/>
    <w:rsid w:val="00CE4B96"/>
    <w:rsid w:val="00CE6299"/>
    <w:rsid w:val="00CE64CC"/>
    <w:rsid w:val="00CF0F44"/>
    <w:rsid w:val="00D11DE3"/>
    <w:rsid w:val="00D12F2F"/>
    <w:rsid w:val="00D13409"/>
    <w:rsid w:val="00D14250"/>
    <w:rsid w:val="00D1480C"/>
    <w:rsid w:val="00D16EFD"/>
    <w:rsid w:val="00D20E15"/>
    <w:rsid w:val="00D25AC1"/>
    <w:rsid w:val="00D26D4A"/>
    <w:rsid w:val="00D33E04"/>
    <w:rsid w:val="00D43BF9"/>
    <w:rsid w:val="00D556BD"/>
    <w:rsid w:val="00D56D68"/>
    <w:rsid w:val="00D64EDF"/>
    <w:rsid w:val="00D65CA0"/>
    <w:rsid w:val="00D721BC"/>
    <w:rsid w:val="00D77705"/>
    <w:rsid w:val="00D8060D"/>
    <w:rsid w:val="00D80C56"/>
    <w:rsid w:val="00D81879"/>
    <w:rsid w:val="00D86520"/>
    <w:rsid w:val="00D951EE"/>
    <w:rsid w:val="00D96E49"/>
    <w:rsid w:val="00DA3255"/>
    <w:rsid w:val="00DA3E0A"/>
    <w:rsid w:val="00DA73AF"/>
    <w:rsid w:val="00DB3D96"/>
    <w:rsid w:val="00DC3FFD"/>
    <w:rsid w:val="00DC5E39"/>
    <w:rsid w:val="00DC7E63"/>
    <w:rsid w:val="00DD2165"/>
    <w:rsid w:val="00DD2A18"/>
    <w:rsid w:val="00DD5008"/>
    <w:rsid w:val="00DD5579"/>
    <w:rsid w:val="00DD706F"/>
    <w:rsid w:val="00DE40FF"/>
    <w:rsid w:val="00DE4123"/>
    <w:rsid w:val="00DE630E"/>
    <w:rsid w:val="00DF235F"/>
    <w:rsid w:val="00E03C82"/>
    <w:rsid w:val="00E07331"/>
    <w:rsid w:val="00E07A50"/>
    <w:rsid w:val="00E10817"/>
    <w:rsid w:val="00E15A21"/>
    <w:rsid w:val="00E172B4"/>
    <w:rsid w:val="00E20292"/>
    <w:rsid w:val="00E23784"/>
    <w:rsid w:val="00E24845"/>
    <w:rsid w:val="00E263E2"/>
    <w:rsid w:val="00E264FA"/>
    <w:rsid w:val="00E26C9D"/>
    <w:rsid w:val="00E276C5"/>
    <w:rsid w:val="00E405C4"/>
    <w:rsid w:val="00E45C34"/>
    <w:rsid w:val="00E50B36"/>
    <w:rsid w:val="00E550BB"/>
    <w:rsid w:val="00E6011D"/>
    <w:rsid w:val="00E72C24"/>
    <w:rsid w:val="00E80FFD"/>
    <w:rsid w:val="00E87298"/>
    <w:rsid w:val="00E96DE1"/>
    <w:rsid w:val="00EA2B27"/>
    <w:rsid w:val="00EA79EB"/>
    <w:rsid w:val="00EB1C18"/>
    <w:rsid w:val="00EB5FAA"/>
    <w:rsid w:val="00EB6BCF"/>
    <w:rsid w:val="00EC094D"/>
    <w:rsid w:val="00EC37FA"/>
    <w:rsid w:val="00ED0213"/>
    <w:rsid w:val="00ED52CF"/>
    <w:rsid w:val="00ED67C0"/>
    <w:rsid w:val="00EE1F16"/>
    <w:rsid w:val="00EE5076"/>
    <w:rsid w:val="00EF041E"/>
    <w:rsid w:val="00EF19D0"/>
    <w:rsid w:val="00EF45D4"/>
    <w:rsid w:val="00EF510B"/>
    <w:rsid w:val="00EF7034"/>
    <w:rsid w:val="00EF7B77"/>
    <w:rsid w:val="00F008A6"/>
    <w:rsid w:val="00F05D3F"/>
    <w:rsid w:val="00F06414"/>
    <w:rsid w:val="00F07230"/>
    <w:rsid w:val="00F121D1"/>
    <w:rsid w:val="00F17143"/>
    <w:rsid w:val="00F17FBF"/>
    <w:rsid w:val="00F2676D"/>
    <w:rsid w:val="00F30DF8"/>
    <w:rsid w:val="00F30FE7"/>
    <w:rsid w:val="00F33D66"/>
    <w:rsid w:val="00F4603A"/>
    <w:rsid w:val="00F54EFF"/>
    <w:rsid w:val="00F551FA"/>
    <w:rsid w:val="00F61BF5"/>
    <w:rsid w:val="00F7083E"/>
    <w:rsid w:val="00F70F26"/>
    <w:rsid w:val="00F71813"/>
    <w:rsid w:val="00F7297A"/>
    <w:rsid w:val="00F73252"/>
    <w:rsid w:val="00F737F9"/>
    <w:rsid w:val="00F82784"/>
    <w:rsid w:val="00F8490F"/>
    <w:rsid w:val="00F858FE"/>
    <w:rsid w:val="00F95398"/>
    <w:rsid w:val="00F96224"/>
    <w:rsid w:val="00FA1901"/>
    <w:rsid w:val="00FA2980"/>
    <w:rsid w:val="00FA57A6"/>
    <w:rsid w:val="00FA5866"/>
    <w:rsid w:val="00FA5EF0"/>
    <w:rsid w:val="00FB11D5"/>
    <w:rsid w:val="00FB1436"/>
    <w:rsid w:val="00FB1D46"/>
    <w:rsid w:val="00FB2D13"/>
    <w:rsid w:val="00FC04E2"/>
    <w:rsid w:val="00FC1140"/>
    <w:rsid w:val="00FC3D37"/>
    <w:rsid w:val="00FC65E0"/>
    <w:rsid w:val="00FD161F"/>
    <w:rsid w:val="00FD2E21"/>
    <w:rsid w:val="00FD46E6"/>
    <w:rsid w:val="00FD5991"/>
    <w:rsid w:val="00FD5D26"/>
    <w:rsid w:val="00FD72A3"/>
    <w:rsid w:val="00FD7AC6"/>
    <w:rsid w:val="00FE01A1"/>
    <w:rsid w:val="00FE5E85"/>
    <w:rsid w:val="00FE6207"/>
    <w:rsid w:val="00FE677E"/>
    <w:rsid w:val="00FF02DD"/>
    <w:rsid w:val="00FF2AE8"/>
    <w:rsid w:val="00FF4F0A"/>
    <w:rsid w:val="00FF5D50"/>
    <w:rsid w:val="00FF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79F3"/>
  <w15:docId w15:val="{3531F9B4-A07B-40FB-9FAB-84194A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0F5"/>
    <w:rPr>
      <w:rFonts w:ascii="Corbel" w:hAnsi="Corbel"/>
    </w:rPr>
  </w:style>
  <w:style w:type="paragraph" w:styleId="Heading1">
    <w:name w:val="heading 1"/>
    <w:basedOn w:val="Normal"/>
    <w:next w:val="Normal"/>
    <w:link w:val="Heading1Char"/>
    <w:uiPriority w:val="9"/>
    <w:qFormat/>
    <w:rsid w:val="008C6B07"/>
    <w:pPr>
      <w:keepNext/>
      <w:keepLines/>
      <w:numPr>
        <w:numId w:val="2"/>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F32F9"/>
    <w:pPr>
      <w:keepNext/>
      <w:keepLines/>
      <w:numPr>
        <w:ilvl w:val="1"/>
        <w:numId w:val="2"/>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C6B07"/>
    <w:pPr>
      <w:keepNext/>
      <w:keepLines/>
      <w:numPr>
        <w:ilvl w:val="2"/>
        <w:numId w:val="2"/>
      </w:numPr>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0BB"/>
    <w:rPr>
      <w:rFonts w:ascii="Corbel" w:eastAsiaTheme="majorEastAsia" w:hAnsi="Corbel" w:cstheme="majorBidi"/>
      <w:b/>
      <w:bCs/>
      <w:sz w:val="28"/>
      <w:szCs w:val="28"/>
    </w:rPr>
  </w:style>
  <w:style w:type="character" w:customStyle="1" w:styleId="Heading2Char">
    <w:name w:val="Heading 2 Char"/>
    <w:basedOn w:val="DefaultParagraphFont"/>
    <w:link w:val="Heading2"/>
    <w:uiPriority w:val="9"/>
    <w:rsid w:val="009F32F9"/>
    <w:rPr>
      <w:rFonts w:ascii="Corbel" w:eastAsiaTheme="majorEastAsia" w:hAnsi="Corbel" w:cstheme="majorBidi"/>
      <w:b/>
      <w:bCs/>
      <w:sz w:val="26"/>
      <w:szCs w:val="26"/>
    </w:rPr>
  </w:style>
  <w:style w:type="character" w:customStyle="1" w:styleId="Heading3Char">
    <w:name w:val="Heading 3 Char"/>
    <w:basedOn w:val="DefaultParagraphFont"/>
    <w:link w:val="Heading3"/>
    <w:uiPriority w:val="9"/>
    <w:rsid w:val="008C6B07"/>
    <w:rPr>
      <w:rFonts w:ascii="Corbel" w:eastAsiaTheme="majorEastAsia" w:hAnsi="Corbel" w:cstheme="majorBidi"/>
      <w:b/>
      <w:bCs/>
    </w:rPr>
  </w:style>
  <w:style w:type="paragraph" w:styleId="ListParagraph">
    <w:name w:val="List Paragraph"/>
    <w:basedOn w:val="Normal"/>
    <w:uiPriority w:val="34"/>
    <w:qFormat/>
    <w:rsid w:val="00333164"/>
    <w:pPr>
      <w:ind w:left="720"/>
      <w:contextualSpacing/>
    </w:pPr>
  </w:style>
  <w:style w:type="paragraph" w:styleId="Header">
    <w:name w:val="header"/>
    <w:basedOn w:val="Normal"/>
    <w:link w:val="HeaderChar"/>
    <w:uiPriority w:val="99"/>
    <w:unhideWhenUsed/>
    <w:rsid w:val="00A65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5695"/>
    <w:rPr>
      <w:rFonts w:ascii="Corbel" w:hAnsi="Corbel"/>
    </w:rPr>
  </w:style>
  <w:style w:type="paragraph" w:styleId="Footer">
    <w:name w:val="footer"/>
    <w:basedOn w:val="Normal"/>
    <w:link w:val="FooterChar"/>
    <w:uiPriority w:val="99"/>
    <w:unhideWhenUsed/>
    <w:rsid w:val="00A65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5695"/>
    <w:rPr>
      <w:rFonts w:ascii="Corbel" w:hAnsi="Corbel"/>
    </w:rPr>
  </w:style>
  <w:style w:type="paragraph" w:styleId="FootnoteText">
    <w:name w:val="footnote text"/>
    <w:basedOn w:val="Normal"/>
    <w:link w:val="FootnoteTextChar"/>
    <w:uiPriority w:val="99"/>
    <w:semiHidden/>
    <w:unhideWhenUsed/>
    <w:rsid w:val="009D4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28F"/>
    <w:rPr>
      <w:rFonts w:ascii="Corbel" w:hAnsi="Corbel"/>
      <w:sz w:val="20"/>
      <w:szCs w:val="20"/>
    </w:rPr>
  </w:style>
  <w:style w:type="character" w:styleId="FootnoteReference">
    <w:name w:val="footnote reference"/>
    <w:aliases w:val=" BVI fnr,BVI fnr, BVI fnr Car Car,BVI fnr Car, BVI fnr Car Car Car Car, BVI fnr Car Car Car Car Char,BVI fnr Car Car,BVI fnr Car Car Car Car,BVI fnr Car Car Car Car Char,ftref,stylish,BVI fnr Car Char1 Char,BVI fnr Car Car Char1 Char"/>
    <w:basedOn w:val="DefaultParagraphFont"/>
    <w:uiPriority w:val="99"/>
    <w:unhideWhenUsed/>
    <w:qFormat/>
    <w:rsid w:val="009D428F"/>
    <w:rPr>
      <w:vertAlign w:val="superscript"/>
    </w:rPr>
  </w:style>
  <w:style w:type="table" w:styleId="TableGrid">
    <w:name w:val="Table Grid"/>
    <w:basedOn w:val="TableNormal"/>
    <w:uiPriority w:val="59"/>
    <w:rsid w:val="009D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C0C"/>
    <w:rPr>
      <w:rFonts w:ascii="Tahoma" w:hAnsi="Tahoma" w:cs="Tahoma"/>
      <w:sz w:val="16"/>
      <w:szCs w:val="16"/>
    </w:rPr>
  </w:style>
  <w:style w:type="character" w:styleId="Hyperlink">
    <w:name w:val="Hyperlink"/>
    <w:basedOn w:val="DefaultParagraphFont"/>
    <w:uiPriority w:val="99"/>
    <w:unhideWhenUsed/>
    <w:rsid w:val="00CE311C"/>
    <w:rPr>
      <w:color w:val="0000FF" w:themeColor="hyperlink"/>
      <w:u w:val="single"/>
    </w:rPr>
  </w:style>
  <w:style w:type="character" w:styleId="CommentReference">
    <w:name w:val="annotation reference"/>
    <w:basedOn w:val="DefaultParagraphFont"/>
    <w:uiPriority w:val="99"/>
    <w:semiHidden/>
    <w:unhideWhenUsed/>
    <w:rsid w:val="00941920"/>
    <w:rPr>
      <w:sz w:val="16"/>
      <w:szCs w:val="16"/>
    </w:rPr>
  </w:style>
  <w:style w:type="paragraph" w:styleId="CommentText">
    <w:name w:val="annotation text"/>
    <w:basedOn w:val="Normal"/>
    <w:link w:val="CommentTextChar"/>
    <w:uiPriority w:val="99"/>
    <w:unhideWhenUsed/>
    <w:rsid w:val="00941920"/>
    <w:pPr>
      <w:spacing w:line="240" w:lineRule="auto"/>
    </w:pPr>
    <w:rPr>
      <w:sz w:val="20"/>
      <w:szCs w:val="20"/>
    </w:rPr>
  </w:style>
  <w:style w:type="character" w:customStyle="1" w:styleId="CommentTextChar">
    <w:name w:val="Comment Text Char"/>
    <w:basedOn w:val="DefaultParagraphFont"/>
    <w:link w:val="CommentText"/>
    <w:uiPriority w:val="99"/>
    <w:rsid w:val="00941920"/>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941920"/>
    <w:rPr>
      <w:b/>
      <w:bCs/>
    </w:rPr>
  </w:style>
  <w:style w:type="character" w:customStyle="1" w:styleId="CommentSubjectChar">
    <w:name w:val="Comment Subject Char"/>
    <w:basedOn w:val="CommentTextChar"/>
    <w:link w:val="CommentSubject"/>
    <w:uiPriority w:val="99"/>
    <w:semiHidden/>
    <w:rsid w:val="00941920"/>
    <w:rPr>
      <w:rFonts w:ascii="Corbel" w:hAnsi="Corbel"/>
      <w:b/>
      <w:bCs/>
      <w:sz w:val="20"/>
      <w:szCs w:val="20"/>
    </w:rPr>
  </w:style>
  <w:style w:type="character" w:styleId="FollowedHyperlink">
    <w:name w:val="FollowedHyperlink"/>
    <w:basedOn w:val="DefaultParagraphFont"/>
    <w:uiPriority w:val="99"/>
    <w:semiHidden/>
    <w:unhideWhenUsed/>
    <w:rsid w:val="00075EEB"/>
    <w:rPr>
      <w:color w:val="800080" w:themeColor="followedHyperlink"/>
      <w:u w:val="single"/>
    </w:rPr>
  </w:style>
  <w:style w:type="table" w:customStyle="1" w:styleId="ListTable3-Accent51">
    <w:name w:val="List Table 3 - Accent 51"/>
    <w:basedOn w:val="TableNormal"/>
    <w:uiPriority w:val="48"/>
    <w:rsid w:val="009E38CC"/>
    <w:pPr>
      <w:spacing w:after="0" w:line="240" w:lineRule="auto"/>
    </w:pPr>
    <w:rPr>
      <w:lang w:val="hr-H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odytext285pt">
    <w:name w:val="Body text (2) + 8;5 pt"/>
    <w:basedOn w:val="DefaultParagraphFont"/>
    <w:rsid w:val="000F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Revision">
    <w:name w:val="Revision"/>
    <w:hidden/>
    <w:uiPriority w:val="99"/>
    <w:semiHidden/>
    <w:rsid w:val="00D65CA0"/>
    <w:pPr>
      <w:spacing w:after="0" w:line="240" w:lineRule="auto"/>
    </w:pPr>
    <w:rPr>
      <w:rFonts w:ascii="Corbel" w:hAnsi="Corbel"/>
    </w:rPr>
  </w:style>
  <w:style w:type="paragraph" w:styleId="NoSpacing">
    <w:name w:val="No Spacing"/>
    <w:basedOn w:val="Normal"/>
    <w:uiPriority w:val="1"/>
    <w:qFormat/>
    <w:rsid w:val="006B454B"/>
    <w:pPr>
      <w:spacing w:after="0" w:line="240" w:lineRule="auto"/>
    </w:pPr>
    <w:rPr>
      <w:rFonts w:asciiTheme="minorHAnsi" w:eastAsiaTheme="minorEastAsia" w:hAnsiTheme="minorHAns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HR/TXT/PDF/?uri=CELEX:32017R1084&amp;from=HR" TargetMode="External"/><Relationship Id="rId2" Type="http://schemas.openxmlformats.org/officeDocument/2006/relationships/hyperlink" Target="http://eur-lex.europa.eu/legal-content/HR/TXT/PDF/?uri=CELEX:32014R0651&amp;from=HR" TargetMode="External"/><Relationship Id="rId1" Type="http://schemas.openxmlformats.org/officeDocument/2006/relationships/hyperlink" Target="http://eur-lex.europa.eu/legal-content/HR/TXT/PDF/?uri=CELEX:52014XC0627(01)&amp;from=HR" TargetMode="External"/><Relationship Id="rId5" Type="http://schemas.openxmlformats.org/officeDocument/2006/relationships/hyperlink" Target="https://eur-lex.europa.eu/legal-content/HR/TXT/PDF/?uri=CELEX:32021R1237&amp;from=HR" TargetMode="External"/><Relationship Id="rId4" Type="http://schemas.openxmlformats.org/officeDocument/2006/relationships/hyperlink" Target="https://eur-lex.europa.eu/legal-content/HR/TXT/PDF/?uri=CELEX:32020R0972&amp;from=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AD444-B767-4328-8BEC-A9C581B4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2341</Words>
  <Characters>13344</Characters>
  <Application>Microsoft Office Word</Application>
  <DocSecurity>0</DocSecurity>
  <Lines>111</Lines>
  <Paragraphs>31</Paragraphs>
  <ScaleCrop>false</ScaleCrop>
  <HeadingPairs>
    <vt:vector size="6" baseType="variant">
      <vt:variant>
        <vt:lpstr>Title</vt:lpstr>
      </vt:variant>
      <vt:variant>
        <vt:i4>1</vt:i4>
      </vt:variant>
      <vt:variant>
        <vt:lpstr>Naslov</vt:lpstr>
      </vt:variant>
      <vt:variant>
        <vt:i4>1</vt:i4>
      </vt:variant>
      <vt:variant>
        <vt:lpstr>Tytuł</vt:lpstr>
      </vt:variant>
      <vt:variant>
        <vt:i4>1</vt:i4>
      </vt:variant>
    </vt:vector>
  </HeadingPairs>
  <TitlesOfParts>
    <vt:vector size="3" baseType="lpstr">
      <vt:lpstr/>
      <vt:lpstr/>
      <vt:lpstr/>
    </vt:vector>
  </TitlesOfParts>
  <Company>MZOŠ</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Mikolaj Stasiak</dc:creator>
  <cp:keywords/>
  <dc:description/>
  <cp:lastModifiedBy>bgovedar</cp:lastModifiedBy>
  <cp:revision>82</cp:revision>
  <cp:lastPrinted>2017-04-20T09:19:00Z</cp:lastPrinted>
  <dcterms:created xsi:type="dcterms:W3CDTF">2022-07-28T08:57:00Z</dcterms:created>
  <dcterms:modified xsi:type="dcterms:W3CDTF">2023-04-21T11:52:00Z</dcterms:modified>
</cp:coreProperties>
</file>